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59A8EF">
      <w:pPr>
        <w:spacing w:line="360" w:lineRule="auto"/>
        <w:jc w:val="center"/>
        <w:rPr>
          <w:rFonts w:ascii="仿宋_GB2312" w:eastAsia="仿宋_GB2312"/>
          <w:b/>
          <w:sz w:val="36"/>
          <w:szCs w:val="36"/>
        </w:rPr>
      </w:pPr>
      <w:r>
        <w:rPr>
          <w:rFonts w:hint="eastAsia" w:ascii="仿宋_GB2312" w:eastAsia="仿宋_GB2312"/>
          <w:b/>
          <w:sz w:val="36"/>
          <w:szCs w:val="36"/>
        </w:rPr>
        <w:t>关于到期违约债券</w:t>
      </w:r>
      <w:r>
        <w:rPr>
          <w:rFonts w:ascii="仿宋_GB2312" w:eastAsia="仿宋_GB2312"/>
          <w:b/>
          <w:sz w:val="36"/>
          <w:szCs w:val="36"/>
        </w:rPr>
        <w:t>—上海宝龙实业发展（集团）有限公司2021年度第一期中期票据</w:t>
      </w:r>
      <w:r>
        <w:rPr>
          <w:rFonts w:hint="eastAsia" w:ascii="仿宋_GB2312" w:eastAsia="仿宋_GB2312"/>
          <w:b/>
          <w:sz w:val="36"/>
          <w:szCs w:val="36"/>
        </w:rPr>
        <w:t>公开转让的投资者须知</w:t>
      </w:r>
    </w:p>
    <w:p w14:paraId="29CE4DE8">
      <w:pPr>
        <w:tabs>
          <w:tab w:val="left" w:pos="0"/>
        </w:tabs>
        <w:snapToGrid w:val="0"/>
        <w:spacing w:line="360" w:lineRule="auto"/>
        <w:ind w:firstLine="544" w:firstLineChars="227"/>
        <w:rPr>
          <w:rFonts w:ascii="仿宋_GB2312" w:eastAsia="仿宋_GB2312"/>
        </w:rPr>
      </w:pPr>
    </w:p>
    <w:p w14:paraId="2486629E">
      <w:pPr>
        <w:tabs>
          <w:tab w:val="left" w:pos="0"/>
        </w:tabs>
        <w:snapToGrid w:val="0"/>
        <w:spacing w:line="360" w:lineRule="auto"/>
        <w:ind w:firstLine="681" w:firstLineChars="227"/>
        <w:rPr>
          <w:rFonts w:ascii="仿宋_GB2312" w:eastAsia="仿宋_GB2312"/>
          <w:sz w:val="30"/>
          <w:szCs w:val="30"/>
        </w:rPr>
      </w:pPr>
      <w:r>
        <w:rPr>
          <w:rFonts w:hint="eastAsia" w:ascii="仿宋_GB2312" w:eastAsia="仿宋_GB2312"/>
          <w:sz w:val="30"/>
          <w:szCs w:val="30"/>
        </w:rPr>
        <w:t>鉴于到期违约债券持有人（以下简称“转让方”）通过北京金融资产交易所有限公司（以下简称“北金所”）对所持有的</w:t>
      </w:r>
      <w:r>
        <w:rPr>
          <w:rFonts w:ascii="仿宋_GB2312" w:eastAsia="仿宋_GB2312"/>
          <w:sz w:val="30"/>
          <w:szCs w:val="30"/>
          <w:u w:val="single"/>
        </w:rPr>
        <w:t>上海宝龙实业发展（集团）有限公司 2021年度第一期中期票据</w:t>
      </w:r>
      <w:r>
        <w:rPr>
          <w:rFonts w:ascii="仿宋_GB2312" w:eastAsia="仿宋_GB2312"/>
          <w:sz w:val="30"/>
          <w:szCs w:val="30"/>
        </w:rPr>
        <w:t>债券</w:t>
      </w:r>
      <w:r>
        <w:rPr>
          <w:rFonts w:hint="eastAsia" w:ascii="仿宋_GB2312" w:eastAsia="仿宋_GB2312"/>
          <w:sz w:val="30"/>
          <w:szCs w:val="30"/>
        </w:rPr>
        <w:t>（转让券面总额</w:t>
      </w:r>
      <w:r>
        <w:rPr>
          <w:rFonts w:ascii="仿宋_GB2312" w:eastAsia="仿宋_GB2312"/>
          <w:sz w:val="30"/>
          <w:szCs w:val="30"/>
          <w:u w:val="single"/>
        </w:rPr>
        <w:t>200</w:t>
      </w:r>
      <w:r>
        <w:rPr>
          <w:rFonts w:hint="eastAsia" w:ascii="仿宋_GB2312" w:eastAsia="仿宋_GB2312"/>
          <w:sz w:val="30"/>
          <w:szCs w:val="30"/>
          <w:u w:val="single"/>
        </w:rPr>
        <w:t>万元</w:t>
      </w:r>
      <w:r>
        <w:rPr>
          <w:rFonts w:hint="eastAsia" w:ascii="仿宋_GB2312" w:eastAsia="仿宋_GB2312"/>
          <w:sz w:val="30"/>
          <w:szCs w:val="30"/>
        </w:rPr>
        <w:t>）（以下称“标的债券”）进行转让，公开征集受让方。现就标的债券公开转让（以下简称“本次转让”）事宜，特向参与转让的投资者做出如下说明：</w:t>
      </w:r>
    </w:p>
    <w:p w14:paraId="7D8200B5">
      <w:pPr>
        <w:tabs>
          <w:tab w:val="left" w:pos="0"/>
        </w:tabs>
        <w:snapToGrid w:val="0"/>
        <w:spacing w:line="360" w:lineRule="auto"/>
        <w:ind w:firstLine="602" w:firstLineChars="200"/>
        <w:rPr>
          <w:rFonts w:ascii="仿宋_GB2312" w:eastAsia="仿宋_GB2312"/>
          <w:sz w:val="30"/>
          <w:szCs w:val="30"/>
        </w:rPr>
      </w:pPr>
      <w:r>
        <w:rPr>
          <w:rFonts w:hint="eastAsia" w:ascii="仿宋_GB2312" w:eastAsia="仿宋_GB2312"/>
          <w:b/>
          <w:bCs/>
          <w:sz w:val="30"/>
          <w:szCs w:val="30"/>
        </w:rPr>
        <w:t>一、标的债券情况</w:t>
      </w:r>
    </w:p>
    <w:p w14:paraId="2C847149">
      <w:pPr>
        <w:spacing w:line="360" w:lineRule="auto"/>
        <w:ind w:firstLine="450" w:firstLineChars="150"/>
        <w:rPr>
          <w:rFonts w:ascii="仿宋_GB2312" w:eastAsia="仿宋_GB2312"/>
          <w:sz w:val="30"/>
          <w:szCs w:val="30"/>
        </w:rPr>
      </w:pPr>
      <w:r>
        <w:rPr>
          <w:rFonts w:hint="eastAsia" w:ascii="仿宋_GB2312" w:eastAsia="仿宋_GB2312"/>
          <w:sz w:val="30"/>
          <w:szCs w:val="30"/>
        </w:rPr>
        <w:t>本次转让的标的债券为</w:t>
      </w:r>
      <w:r>
        <w:rPr>
          <w:rFonts w:ascii="仿宋_GB2312" w:eastAsia="仿宋_GB2312"/>
          <w:sz w:val="30"/>
          <w:szCs w:val="30"/>
          <w:u w:val="single"/>
        </w:rPr>
        <w:t>上海宝龙实业发展（集团）有限公司</w:t>
      </w:r>
      <w:bookmarkStart w:id="0" w:name="_GoBack"/>
      <w:bookmarkEnd w:id="0"/>
      <w:r>
        <w:rPr>
          <w:rFonts w:ascii="仿宋_GB2312" w:eastAsia="仿宋_GB2312"/>
          <w:sz w:val="30"/>
          <w:szCs w:val="30"/>
          <w:u w:val="single"/>
        </w:rPr>
        <w:t>2021年度第一期中期票据</w:t>
      </w:r>
      <w:r>
        <w:rPr>
          <w:rFonts w:ascii="仿宋_GB2312" w:eastAsia="仿宋_GB2312"/>
          <w:sz w:val="30"/>
          <w:szCs w:val="30"/>
        </w:rPr>
        <w:t>债券</w:t>
      </w:r>
      <w:r>
        <w:rPr>
          <w:rFonts w:hint="eastAsia" w:ascii="仿宋_GB2312" w:eastAsia="仿宋_GB2312"/>
          <w:sz w:val="30"/>
          <w:szCs w:val="30"/>
        </w:rPr>
        <w:t>（债券简称</w:t>
      </w:r>
      <w:r>
        <w:rPr>
          <w:rFonts w:ascii="仿宋_GB2312" w:eastAsia="仿宋_GB2312"/>
          <w:sz w:val="30"/>
          <w:szCs w:val="30"/>
          <w:u w:val="single"/>
        </w:rPr>
        <w:t>21宝龙MTN001</w:t>
      </w:r>
      <w:r>
        <w:rPr>
          <w:rFonts w:hint="eastAsia" w:ascii="仿宋_GB2312" w:eastAsia="仿宋_GB2312"/>
          <w:sz w:val="30"/>
          <w:szCs w:val="30"/>
        </w:rPr>
        <w:t>，债券代码</w:t>
      </w:r>
      <w:r>
        <w:rPr>
          <w:rFonts w:ascii="仿宋_GB2312" w:eastAsia="仿宋_GB2312"/>
          <w:sz w:val="30"/>
          <w:szCs w:val="30"/>
          <w:u w:val="single"/>
        </w:rPr>
        <w:t>102101036</w:t>
      </w:r>
      <w:r>
        <w:rPr>
          <w:rFonts w:hint="eastAsia" w:ascii="仿宋_GB2312" w:eastAsia="仿宋_GB2312"/>
          <w:sz w:val="30"/>
          <w:szCs w:val="30"/>
        </w:rPr>
        <w:t>，转让券面总额</w:t>
      </w:r>
      <w:r>
        <w:rPr>
          <w:rFonts w:ascii="仿宋_GB2312" w:eastAsia="仿宋_GB2312"/>
          <w:sz w:val="30"/>
          <w:szCs w:val="30"/>
          <w:u w:val="single"/>
        </w:rPr>
        <w:t>200万元</w:t>
      </w:r>
      <w:r>
        <w:rPr>
          <w:rFonts w:hint="eastAsia" w:ascii="仿宋_GB2312" w:eastAsia="仿宋_GB2312"/>
          <w:sz w:val="30"/>
          <w:szCs w:val="30"/>
        </w:rPr>
        <w:t>）</w:t>
      </w:r>
      <w:r>
        <w:rPr>
          <w:rFonts w:hint="eastAsia" w:ascii="仿宋_GB2312" w:eastAsia="仿宋_GB2312"/>
          <w:bCs/>
          <w:sz w:val="30"/>
          <w:szCs w:val="30"/>
        </w:rPr>
        <w:t>。</w:t>
      </w:r>
      <w:r>
        <w:rPr>
          <w:rFonts w:hint="eastAsia" w:ascii="仿宋_GB2312" w:eastAsia="仿宋_GB2312"/>
          <w:sz w:val="30"/>
          <w:szCs w:val="30"/>
        </w:rPr>
        <w:t>投资者应详尽知悉标的债券风险。</w:t>
      </w:r>
    </w:p>
    <w:p w14:paraId="62EC8EB9">
      <w:pPr>
        <w:spacing w:line="360" w:lineRule="auto"/>
        <w:ind w:firstLine="452" w:firstLineChars="150"/>
        <w:rPr>
          <w:rFonts w:ascii="仿宋_GB2312" w:eastAsia="仿宋_GB2312"/>
          <w:sz w:val="30"/>
          <w:szCs w:val="30"/>
        </w:rPr>
      </w:pPr>
      <w:r>
        <w:rPr>
          <w:rFonts w:hint="eastAsia" w:ascii="仿宋_GB2312" w:eastAsia="仿宋_GB2312"/>
          <w:b/>
          <w:bCs/>
          <w:sz w:val="30"/>
          <w:szCs w:val="30"/>
        </w:rPr>
        <w:t>二、标的债券转让方式和转让原则</w:t>
      </w:r>
    </w:p>
    <w:p w14:paraId="6AB703FD">
      <w:pPr>
        <w:ind w:firstLine="602" w:firstLineChars="200"/>
        <w:rPr>
          <w:rFonts w:ascii="仿宋_GB2312" w:eastAsia="仿宋_GB2312"/>
          <w:b/>
          <w:sz w:val="30"/>
          <w:szCs w:val="30"/>
        </w:rPr>
      </w:pPr>
      <w:r>
        <w:rPr>
          <w:rFonts w:hint="eastAsia" w:ascii="仿宋_GB2312" w:eastAsia="仿宋_GB2312"/>
          <w:b/>
          <w:sz w:val="30"/>
          <w:szCs w:val="30"/>
        </w:rPr>
        <w:t>1、转让方式</w:t>
      </w:r>
    </w:p>
    <w:p w14:paraId="33249F83">
      <w:pPr>
        <w:ind w:firstLine="600" w:firstLineChars="200"/>
        <w:rPr>
          <w:rFonts w:ascii="仿宋_GB2312" w:eastAsia="仿宋_GB2312"/>
          <w:sz w:val="30"/>
          <w:szCs w:val="30"/>
        </w:rPr>
      </w:pPr>
      <w:r>
        <w:rPr>
          <w:rFonts w:hint="eastAsia" w:ascii="仿宋_GB2312" w:eastAsia="仿宋_GB2312"/>
          <w:sz w:val="30"/>
          <w:szCs w:val="30"/>
        </w:rPr>
        <w:t>标的债券按照现状在北金所采取动态报价方式公开转让。</w:t>
      </w:r>
    </w:p>
    <w:p w14:paraId="73A54E87">
      <w:pPr>
        <w:ind w:firstLine="602" w:firstLineChars="200"/>
        <w:rPr>
          <w:rFonts w:ascii="仿宋_GB2312" w:eastAsia="仿宋_GB2312"/>
          <w:b/>
          <w:sz w:val="30"/>
          <w:szCs w:val="30"/>
        </w:rPr>
      </w:pPr>
      <w:r>
        <w:rPr>
          <w:rFonts w:hint="eastAsia" w:ascii="仿宋_GB2312" w:eastAsia="仿宋_GB2312"/>
          <w:b/>
          <w:sz w:val="30"/>
          <w:szCs w:val="30"/>
        </w:rPr>
        <w:t>2、转让原则</w:t>
      </w:r>
    </w:p>
    <w:p w14:paraId="507258BE">
      <w:pPr>
        <w:ind w:firstLine="600" w:firstLineChars="200"/>
        <w:rPr>
          <w:rFonts w:ascii="仿宋_GB2312" w:eastAsia="仿宋_GB2312"/>
          <w:sz w:val="30"/>
          <w:szCs w:val="30"/>
        </w:rPr>
      </w:pPr>
      <w:r>
        <w:rPr>
          <w:rFonts w:hint="eastAsia" w:ascii="仿宋_GB2312" w:eastAsia="仿宋_GB2312"/>
          <w:sz w:val="30"/>
          <w:szCs w:val="30"/>
        </w:rPr>
        <w:t>标的债券整体转让基础上，出价高者优先受让，最终成交价格不得低于公布的转让底价。</w:t>
      </w:r>
    </w:p>
    <w:p w14:paraId="41990FC3">
      <w:pPr>
        <w:ind w:firstLine="602" w:firstLineChars="200"/>
        <w:rPr>
          <w:rFonts w:ascii="仿宋_GB2312" w:eastAsia="仿宋_GB2312"/>
          <w:b/>
          <w:sz w:val="30"/>
          <w:szCs w:val="30"/>
        </w:rPr>
      </w:pPr>
      <w:r>
        <w:rPr>
          <w:rFonts w:hint="eastAsia" w:ascii="仿宋_GB2312" w:eastAsia="仿宋_GB2312"/>
          <w:b/>
          <w:sz w:val="30"/>
          <w:szCs w:val="30"/>
        </w:rPr>
        <w:t>3、转让费用</w:t>
      </w:r>
    </w:p>
    <w:p w14:paraId="68165C3E">
      <w:pPr>
        <w:rPr>
          <w:rFonts w:ascii="仿宋_GB2312" w:eastAsia="仿宋_GB2312"/>
          <w:sz w:val="30"/>
          <w:szCs w:val="30"/>
        </w:rPr>
      </w:pPr>
      <w:r>
        <w:rPr>
          <w:rFonts w:hint="eastAsia" w:ascii="仿宋_GB2312" w:eastAsia="仿宋_GB2312"/>
          <w:sz w:val="30"/>
          <w:szCs w:val="30"/>
        </w:rPr>
        <w:t>（1）受让方应承诺，按照北金所的收费标准缴纳转让服务费；</w:t>
      </w:r>
    </w:p>
    <w:p w14:paraId="6B3CE4CC">
      <w:pPr>
        <w:rPr>
          <w:rFonts w:ascii="仿宋_GB2312" w:eastAsia="仿宋_GB2312"/>
          <w:sz w:val="30"/>
          <w:szCs w:val="30"/>
        </w:rPr>
      </w:pPr>
      <w:r>
        <w:rPr>
          <w:rFonts w:hint="eastAsia" w:ascii="仿宋_GB2312" w:eastAsia="仿宋_GB2312"/>
          <w:sz w:val="30"/>
          <w:szCs w:val="30"/>
        </w:rPr>
        <w:t>（2）受让方将承担参与受让标的债券转让过程中的各项中介费用及税费。</w:t>
      </w:r>
    </w:p>
    <w:p w14:paraId="5B315587">
      <w:pPr>
        <w:ind w:firstLine="602" w:firstLineChars="200"/>
        <w:rPr>
          <w:rFonts w:ascii="仿宋_GB2312" w:eastAsia="仿宋_GB2312"/>
          <w:b/>
          <w:sz w:val="30"/>
          <w:szCs w:val="30"/>
        </w:rPr>
      </w:pPr>
      <w:r>
        <w:rPr>
          <w:rFonts w:hint="eastAsia" w:ascii="仿宋_GB2312" w:eastAsia="仿宋_GB2312"/>
          <w:b/>
          <w:sz w:val="30"/>
          <w:szCs w:val="30"/>
        </w:rPr>
        <w:t>三、转让程序安排及转让规则</w:t>
      </w:r>
    </w:p>
    <w:p w14:paraId="2E1FC28C">
      <w:pPr>
        <w:ind w:firstLine="602" w:firstLineChars="200"/>
        <w:rPr>
          <w:rFonts w:ascii="仿宋_GB2312" w:eastAsia="仿宋_GB2312"/>
          <w:b/>
          <w:sz w:val="30"/>
          <w:szCs w:val="30"/>
        </w:rPr>
      </w:pPr>
      <w:r>
        <w:rPr>
          <w:rFonts w:hint="eastAsia" w:ascii="仿宋_GB2312" w:eastAsia="仿宋_GB2312"/>
          <w:b/>
          <w:sz w:val="30"/>
          <w:szCs w:val="30"/>
        </w:rPr>
        <w:t>1、转让程序安排</w:t>
      </w:r>
    </w:p>
    <w:p w14:paraId="231EFC4A">
      <w:pPr>
        <w:ind w:firstLine="600" w:firstLineChars="200"/>
        <w:rPr>
          <w:rFonts w:ascii="仿宋_GB2312" w:eastAsia="仿宋_GB2312"/>
          <w:sz w:val="30"/>
          <w:szCs w:val="30"/>
        </w:rPr>
      </w:pPr>
      <w:r>
        <w:rPr>
          <w:rFonts w:hint="eastAsia" w:ascii="仿宋_GB2312" w:eastAsia="仿宋_GB2312"/>
          <w:sz w:val="30"/>
          <w:szCs w:val="30"/>
        </w:rPr>
        <w:t>受让方缴纳保证金和提交受让申请，即视为受让方对标的债券的现状及转让底价的认可。经审核具备条件的，通过北金所指定的动态报价系统进行报价，其中，金融机构及非法人产品应通过全国银行间同业拆借中心（以下简称“交易中心”）进行报价，具体而言，在动态报价的自由报价期和限时报价期分别向交易中心提交《北京金融资产交易所动态报价线下业务委托单（自由报价期意向受让方填写）》及《北京金融资产交易所动态报价线下业务委托单（限时报价期意向受让方填写）》，交易中心收集后发送至北金所。</w:t>
      </w:r>
    </w:p>
    <w:p w14:paraId="57D5BB4C">
      <w:pPr>
        <w:ind w:firstLine="602" w:firstLineChars="200"/>
        <w:rPr>
          <w:rFonts w:ascii="仿宋_GB2312" w:eastAsia="仿宋_GB2312"/>
          <w:b/>
          <w:sz w:val="30"/>
          <w:szCs w:val="30"/>
        </w:rPr>
      </w:pPr>
      <w:r>
        <w:rPr>
          <w:rFonts w:hint="eastAsia" w:ascii="仿宋_GB2312" w:eastAsia="仿宋_GB2312"/>
          <w:b/>
          <w:sz w:val="30"/>
          <w:szCs w:val="30"/>
        </w:rPr>
        <w:t>2、动态报价规则的简要说明</w:t>
      </w:r>
    </w:p>
    <w:p w14:paraId="23B52744">
      <w:pPr>
        <w:ind w:firstLine="600" w:firstLineChars="200"/>
        <w:rPr>
          <w:rFonts w:ascii="仿宋_GB2312" w:eastAsia="仿宋_GB2312"/>
          <w:sz w:val="30"/>
          <w:szCs w:val="30"/>
        </w:rPr>
      </w:pPr>
      <w:r>
        <w:rPr>
          <w:rFonts w:hint="eastAsia" w:ascii="仿宋_GB2312" w:eastAsia="仿宋_GB2312"/>
          <w:sz w:val="30"/>
          <w:szCs w:val="30"/>
        </w:rPr>
        <w:t>（1）</w:t>
      </w:r>
      <w:r>
        <w:rPr>
          <w:rFonts w:ascii="仿宋_GB2312" w:eastAsia="仿宋_GB2312"/>
          <w:sz w:val="30"/>
          <w:szCs w:val="30"/>
          <w:u w:val="single"/>
        </w:rPr>
        <w:t>2026年08月12日</w:t>
      </w:r>
      <w:r>
        <w:rPr>
          <w:rFonts w:hint="eastAsia" w:ascii="仿宋_GB2312" w:eastAsia="仿宋_GB2312"/>
          <w:sz w:val="30"/>
          <w:szCs w:val="30"/>
        </w:rPr>
        <w:t>至</w:t>
      </w:r>
      <w:r>
        <w:rPr>
          <w:rFonts w:ascii="仿宋_GB2312" w:eastAsia="仿宋_GB2312"/>
          <w:sz w:val="30"/>
          <w:szCs w:val="30"/>
          <w:u w:val="single"/>
        </w:rPr>
        <w:t>2026年08月17日</w:t>
      </w:r>
      <w:r>
        <w:rPr>
          <w:rFonts w:hint="eastAsia" w:ascii="仿宋_GB2312" w:eastAsia="仿宋_GB2312"/>
          <w:sz w:val="30"/>
          <w:szCs w:val="30"/>
          <w:u w:val="single"/>
        </w:rPr>
        <w:t xml:space="preserve"> 9:30 </w:t>
      </w:r>
      <w:r>
        <w:rPr>
          <w:rFonts w:hint="eastAsia" w:ascii="仿宋_GB2312" w:eastAsia="仿宋_GB2312"/>
          <w:sz w:val="30"/>
          <w:szCs w:val="30"/>
        </w:rPr>
        <w:t>时之前为自由报价期，</w:t>
      </w:r>
      <w:r>
        <w:rPr>
          <w:rFonts w:ascii="仿宋_GB2312" w:eastAsia="仿宋_GB2312"/>
          <w:sz w:val="30"/>
          <w:szCs w:val="30"/>
          <w:u w:val="single"/>
        </w:rPr>
        <w:t>2026年08月17日</w:t>
      </w:r>
      <w:r>
        <w:rPr>
          <w:rFonts w:hint="eastAsia" w:ascii="仿宋_GB2312" w:eastAsia="仿宋_GB2312"/>
          <w:sz w:val="30"/>
          <w:szCs w:val="30"/>
          <w:u w:val="single"/>
        </w:rPr>
        <w:t>9:30</w:t>
      </w:r>
      <w:r>
        <w:rPr>
          <w:rFonts w:hint="eastAsia" w:ascii="仿宋_GB2312" w:eastAsia="仿宋_GB2312"/>
          <w:sz w:val="30"/>
          <w:szCs w:val="30"/>
        </w:rPr>
        <w:t>时之后为限时报价期；</w:t>
      </w:r>
    </w:p>
    <w:p w14:paraId="4066E406">
      <w:pPr>
        <w:ind w:firstLine="600" w:firstLineChars="200"/>
        <w:rPr>
          <w:rFonts w:ascii="仿宋_GB2312" w:eastAsia="仿宋_GB2312"/>
          <w:sz w:val="30"/>
          <w:szCs w:val="30"/>
        </w:rPr>
      </w:pPr>
      <w:r>
        <w:rPr>
          <w:rFonts w:hint="eastAsia" w:ascii="仿宋_GB2312" w:eastAsia="仿宋_GB2312"/>
          <w:sz w:val="30"/>
          <w:szCs w:val="30"/>
        </w:rPr>
        <w:t>（2）参与竞买的所有受让方均应在</w:t>
      </w:r>
      <w:r>
        <w:rPr>
          <w:rFonts w:ascii="仿宋_GB2312" w:eastAsia="仿宋_GB2312"/>
          <w:sz w:val="30"/>
          <w:szCs w:val="30"/>
          <w:u w:val="single"/>
        </w:rPr>
        <w:t>2026年08月17日</w:t>
      </w:r>
      <w:r>
        <w:rPr>
          <w:rFonts w:hint="eastAsia" w:ascii="仿宋_GB2312" w:eastAsia="仿宋_GB2312"/>
          <w:sz w:val="30"/>
          <w:szCs w:val="30"/>
          <w:u w:val="single"/>
        </w:rPr>
        <w:t xml:space="preserve"> 9 时</w:t>
      </w:r>
      <w:r>
        <w:rPr>
          <w:rFonts w:hint="eastAsia" w:ascii="仿宋_GB2312" w:eastAsia="仿宋_GB2312"/>
          <w:sz w:val="30"/>
          <w:szCs w:val="30"/>
        </w:rPr>
        <w:t>之前到北金所及交易中心指定场所参加转让，其中，非金融机构合格投资人应到北金所指定场所参加转让，金融机构及非法人产品应通过交易中心参加转让；</w:t>
      </w:r>
    </w:p>
    <w:p w14:paraId="176927CF">
      <w:pPr>
        <w:ind w:firstLine="600" w:firstLineChars="200"/>
        <w:rPr>
          <w:rFonts w:ascii="仿宋_GB2312" w:eastAsia="仿宋_GB2312"/>
          <w:sz w:val="30"/>
          <w:szCs w:val="30"/>
        </w:rPr>
      </w:pPr>
      <w:r>
        <w:rPr>
          <w:rFonts w:hint="eastAsia" w:ascii="仿宋_GB2312" w:eastAsia="仿宋_GB2312"/>
          <w:sz w:val="30"/>
          <w:szCs w:val="30"/>
        </w:rPr>
        <w:t>（3）如果只有一位受让方在自由报价期报出等于或者高于转让底价的价格，则其报价为有效报价，按上述时间转入限时报价期，在限时报价期间没有其他受让方报价超过当前有效报价的，限时报价期结束，由北金所确认该受让方为中标受让方。如果有两位或以上受让方在自由报价期均报出高于转让底价的有效报价，则按上述时间转入限时报价期，在限时报价期间报价高者为有效报价，报价最高者确定为中标受让方。</w:t>
      </w:r>
    </w:p>
    <w:p w14:paraId="668E8DE2">
      <w:pPr>
        <w:ind w:firstLine="600" w:firstLineChars="200"/>
        <w:rPr>
          <w:rFonts w:ascii="仿宋_GB2312" w:eastAsia="仿宋_GB2312"/>
          <w:sz w:val="30"/>
          <w:szCs w:val="30"/>
        </w:rPr>
      </w:pPr>
      <w:r>
        <w:rPr>
          <w:rFonts w:hint="eastAsia" w:ascii="仿宋_GB2312" w:eastAsia="仿宋_GB2312"/>
          <w:sz w:val="30"/>
          <w:szCs w:val="30"/>
        </w:rPr>
        <w:t>（4）因受让方如下行为产生的一切后果，转让方和北金所均不承担任何责任。</w:t>
      </w:r>
    </w:p>
    <w:p w14:paraId="7BD9EAB8">
      <w:pPr>
        <w:ind w:firstLine="600" w:firstLineChars="200"/>
        <w:rPr>
          <w:rFonts w:ascii="仿宋_GB2312" w:eastAsia="仿宋_GB2312"/>
          <w:sz w:val="30"/>
          <w:szCs w:val="30"/>
        </w:rPr>
      </w:pPr>
      <w:r>
        <w:rPr>
          <w:rFonts w:hint="eastAsia" w:ascii="仿宋_GB2312" w:eastAsia="仿宋_GB2312"/>
          <w:sz w:val="30"/>
          <w:szCs w:val="30"/>
        </w:rPr>
        <w:t>1）未及时关注北金所及动态报价系统发布的动态报价活动相关信息的；</w:t>
      </w:r>
    </w:p>
    <w:p w14:paraId="60F38CF6">
      <w:pPr>
        <w:ind w:firstLine="600" w:firstLineChars="200"/>
        <w:rPr>
          <w:rFonts w:ascii="仿宋_GB2312" w:eastAsia="仿宋_GB2312"/>
          <w:sz w:val="30"/>
          <w:szCs w:val="30"/>
        </w:rPr>
      </w:pPr>
      <w:r>
        <w:rPr>
          <w:rFonts w:hint="eastAsia" w:ascii="仿宋_GB2312" w:eastAsia="仿宋_GB2312"/>
          <w:sz w:val="30"/>
          <w:szCs w:val="30"/>
        </w:rPr>
        <w:t>2）所填写的信息不真实、不准确或不完整而造成注册帐户无法激活或保证金无法退还的；</w:t>
      </w:r>
    </w:p>
    <w:p w14:paraId="1FC34CED">
      <w:pPr>
        <w:ind w:firstLine="600" w:firstLineChars="200"/>
        <w:rPr>
          <w:rFonts w:ascii="仿宋_GB2312" w:eastAsia="仿宋_GB2312"/>
          <w:sz w:val="30"/>
          <w:szCs w:val="30"/>
        </w:rPr>
      </w:pPr>
      <w:r>
        <w:rPr>
          <w:rFonts w:hint="eastAsia" w:ascii="仿宋_GB2312" w:eastAsia="仿宋_GB2312"/>
          <w:sz w:val="30"/>
          <w:szCs w:val="30"/>
        </w:rPr>
        <w:t>3）由于受让方自身的终端设备和网络异常等原因导致无法正常报价的；</w:t>
      </w:r>
    </w:p>
    <w:p w14:paraId="502BDCF2">
      <w:pPr>
        <w:ind w:firstLine="600" w:firstLineChars="200"/>
        <w:rPr>
          <w:rFonts w:ascii="仿宋_GB2312" w:eastAsia="仿宋_GB2312"/>
          <w:sz w:val="30"/>
          <w:szCs w:val="30"/>
        </w:rPr>
      </w:pPr>
      <w:r>
        <w:rPr>
          <w:rFonts w:hint="eastAsia" w:ascii="仿宋_GB2312" w:eastAsia="仿宋_GB2312"/>
          <w:sz w:val="30"/>
          <w:szCs w:val="30"/>
        </w:rPr>
        <w:t>4）动态报价活动的时间以动态报价系统服务器时间为准。由于受让方自身终端设备时间与动态报价系统服务器时间不符而导致未按时参与报价的；</w:t>
      </w:r>
    </w:p>
    <w:p w14:paraId="36FE9A35">
      <w:pPr>
        <w:ind w:firstLine="600" w:firstLineChars="200"/>
        <w:rPr>
          <w:rFonts w:ascii="仿宋_GB2312" w:eastAsia="仿宋_GB2312"/>
          <w:sz w:val="30"/>
          <w:szCs w:val="30"/>
        </w:rPr>
      </w:pPr>
      <w:r>
        <w:rPr>
          <w:rFonts w:hint="eastAsia" w:ascii="仿宋_GB2312" w:eastAsia="仿宋_GB2312"/>
          <w:sz w:val="30"/>
          <w:szCs w:val="30"/>
        </w:rPr>
        <w:t>5）动态报价系统因服务器机房网络故障、软硬件故障、非法入侵、恶意攻击、不可抗力等原因而导致系统异常、竞价活动中断的，北金所不承担任何责任。北金所将视情况组织继续报价或重新报价。继续报价或重新报价的方式如下：</w:t>
      </w:r>
    </w:p>
    <w:p w14:paraId="25EADA3B">
      <w:pPr>
        <w:rPr>
          <w:rFonts w:ascii="仿宋_GB2312" w:eastAsia="仿宋_GB2312"/>
          <w:sz w:val="30"/>
          <w:szCs w:val="30"/>
        </w:rPr>
      </w:pPr>
      <w:r>
        <w:rPr>
          <w:rFonts w:hint="eastAsia" w:ascii="仿宋_GB2312" w:eastAsia="仿宋_GB2312"/>
          <w:sz w:val="30"/>
          <w:szCs w:val="30"/>
        </w:rPr>
        <w:t>报价记录可以恢复的，以中断时的最高有效报价为起始价继续报价；报价记录无法恢复的，以转让底价为起始价重新报价。继续报价或重新报价时将进行不少于1个工作日的自由报价。</w:t>
      </w:r>
    </w:p>
    <w:p w14:paraId="7AE8DA55">
      <w:pPr>
        <w:ind w:firstLine="602" w:firstLineChars="200"/>
        <w:rPr>
          <w:rFonts w:ascii="仿宋_GB2312" w:eastAsia="仿宋_GB2312"/>
          <w:b/>
          <w:sz w:val="30"/>
          <w:szCs w:val="30"/>
        </w:rPr>
      </w:pPr>
      <w:r>
        <w:rPr>
          <w:rFonts w:hint="eastAsia" w:ascii="仿宋_GB2312" w:eastAsia="仿宋_GB2312"/>
          <w:b/>
          <w:sz w:val="30"/>
          <w:szCs w:val="30"/>
        </w:rPr>
        <w:t>四、北金所具体服务内容</w:t>
      </w:r>
    </w:p>
    <w:p w14:paraId="67D3E4F4">
      <w:pPr>
        <w:ind w:firstLine="600" w:firstLineChars="200"/>
        <w:rPr>
          <w:rFonts w:ascii="仿宋_GB2312" w:eastAsia="仿宋_GB2312"/>
          <w:sz w:val="30"/>
          <w:szCs w:val="30"/>
        </w:rPr>
      </w:pPr>
      <w:r>
        <w:rPr>
          <w:rFonts w:hint="eastAsia" w:ascii="仿宋_GB2312" w:eastAsia="仿宋_GB2312"/>
          <w:sz w:val="30"/>
          <w:szCs w:val="30"/>
        </w:rPr>
        <w:t>1、北金所向转让方提供标的债券的转让规则、竞价程序相关的业务咨询服务，协助转让方通过动态报价方式组织并实施本次标的债券转让活动。</w:t>
      </w:r>
    </w:p>
    <w:p w14:paraId="70EE2D5A">
      <w:pPr>
        <w:ind w:firstLine="600" w:firstLineChars="200"/>
        <w:rPr>
          <w:rFonts w:ascii="仿宋_GB2312" w:eastAsia="仿宋_GB2312"/>
          <w:sz w:val="30"/>
          <w:szCs w:val="30"/>
        </w:rPr>
      </w:pPr>
      <w:r>
        <w:rPr>
          <w:rFonts w:hint="eastAsia" w:ascii="仿宋_GB2312" w:eastAsia="仿宋_GB2312"/>
          <w:sz w:val="30"/>
          <w:szCs w:val="30"/>
        </w:rPr>
        <w:t>2、北金所及交易中心网站公示转让方的标的债券转让信息，北金所根据需要，为转让方提供本次标的债券转让的信息发布和宣传服务。</w:t>
      </w:r>
    </w:p>
    <w:p w14:paraId="75B7629D">
      <w:pPr>
        <w:ind w:firstLine="600" w:firstLineChars="200"/>
        <w:rPr>
          <w:rFonts w:ascii="仿宋_GB2312" w:eastAsia="仿宋_GB2312"/>
          <w:sz w:val="30"/>
          <w:szCs w:val="30"/>
        </w:rPr>
      </w:pPr>
      <w:r>
        <w:rPr>
          <w:rFonts w:hint="eastAsia" w:ascii="仿宋_GB2312" w:eastAsia="仿宋_GB2312"/>
          <w:sz w:val="30"/>
          <w:szCs w:val="30"/>
        </w:rPr>
        <w:t>3、北金所协助转让方填制《北京金融资产交易所到期违约债券转让及信息发布申请书》等相关标的债券转让申请文件。</w:t>
      </w:r>
    </w:p>
    <w:p w14:paraId="529BA920">
      <w:pPr>
        <w:ind w:firstLine="600" w:firstLineChars="200"/>
        <w:rPr>
          <w:rFonts w:ascii="仿宋_GB2312" w:eastAsia="仿宋_GB2312"/>
          <w:sz w:val="30"/>
          <w:szCs w:val="30"/>
        </w:rPr>
      </w:pPr>
      <w:r>
        <w:rPr>
          <w:rFonts w:hint="eastAsia" w:ascii="仿宋_GB2312" w:eastAsia="仿宋_GB2312"/>
          <w:sz w:val="30"/>
          <w:szCs w:val="30"/>
        </w:rPr>
        <w:t>4、北金所广泛征集意向受让方，组织转让方与意向受让方竞价、成交。</w:t>
      </w:r>
    </w:p>
    <w:p w14:paraId="78E91C5F">
      <w:pPr>
        <w:ind w:firstLine="600" w:firstLineChars="200"/>
        <w:rPr>
          <w:rFonts w:ascii="仿宋_GB2312" w:eastAsia="仿宋_GB2312"/>
          <w:sz w:val="30"/>
          <w:szCs w:val="30"/>
        </w:rPr>
      </w:pPr>
      <w:r>
        <w:rPr>
          <w:rFonts w:hint="eastAsia" w:ascii="仿宋_GB2312" w:eastAsia="仿宋_GB2312"/>
          <w:sz w:val="30"/>
          <w:szCs w:val="30"/>
        </w:rPr>
        <w:t>5、北金所协助完成尽职调查相关工作。</w:t>
      </w:r>
    </w:p>
    <w:p w14:paraId="7F1F5B59">
      <w:pPr>
        <w:ind w:firstLine="600" w:firstLineChars="200"/>
        <w:rPr>
          <w:rFonts w:ascii="仿宋_GB2312" w:eastAsia="仿宋_GB2312"/>
          <w:sz w:val="30"/>
          <w:szCs w:val="30"/>
        </w:rPr>
      </w:pPr>
      <w:r>
        <w:rPr>
          <w:rFonts w:hint="eastAsia" w:ascii="仿宋_GB2312" w:eastAsia="仿宋_GB2312"/>
          <w:sz w:val="30"/>
          <w:szCs w:val="30"/>
        </w:rPr>
        <w:t>6、双方商定的与本次标的债券转让相关的其他事项。</w:t>
      </w:r>
    </w:p>
    <w:p w14:paraId="783B8470">
      <w:pPr>
        <w:ind w:firstLine="602" w:firstLineChars="200"/>
        <w:rPr>
          <w:rFonts w:ascii="仿宋_GB2312" w:eastAsia="仿宋_GB2312"/>
          <w:sz w:val="30"/>
          <w:szCs w:val="30"/>
        </w:rPr>
      </w:pPr>
      <w:r>
        <w:rPr>
          <w:rFonts w:hint="eastAsia" w:ascii="仿宋_GB2312" w:eastAsia="仿宋_GB2312"/>
          <w:b/>
          <w:sz w:val="30"/>
          <w:szCs w:val="30"/>
        </w:rPr>
        <w:t>五、受让方受让条件</w:t>
      </w:r>
    </w:p>
    <w:p w14:paraId="7C6E78DE">
      <w:pPr>
        <w:ind w:firstLine="600" w:firstLineChars="200"/>
        <w:rPr>
          <w:rFonts w:ascii="仿宋_GB2312" w:eastAsia="仿宋_GB2312"/>
          <w:sz w:val="30"/>
          <w:szCs w:val="30"/>
        </w:rPr>
      </w:pPr>
      <w:r>
        <w:rPr>
          <w:rFonts w:hint="eastAsia" w:ascii="仿宋_GB2312" w:eastAsia="仿宋_GB2312"/>
          <w:sz w:val="30"/>
          <w:szCs w:val="30"/>
        </w:rPr>
        <w:t>1、风险揭示：参与标的债券竞买的意向受让方视为接受本须知及标的债券转让公告及《北京金融资产交易所到期违约债券转让业务风险知悉承诺函》的相关风险揭示条款。</w:t>
      </w:r>
    </w:p>
    <w:p w14:paraId="55125F3C">
      <w:pPr>
        <w:ind w:firstLine="600" w:firstLineChars="200"/>
        <w:rPr>
          <w:rFonts w:ascii="仿宋_GB2312" w:eastAsia="仿宋_GB2312"/>
          <w:sz w:val="30"/>
          <w:szCs w:val="30"/>
        </w:rPr>
      </w:pPr>
      <w:r>
        <w:rPr>
          <w:rFonts w:hint="eastAsia" w:ascii="仿宋_GB2312" w:eastAsia="仿宋_GB2312"/>
          <w:sz w:val="30"/>
          <w:szCs w:val="30"/>
        </w:rPr>
        <w:t>2、符合转让条件及受让方资格：</w:t>
      </w:r>
    </w:p>
    <w:p w14:paraId="30AAC1E9">
      <w:pPr>
        <w:ind w:firstLine="600" w:firstLineChars="200"/>
        <w:rPr>
          <w:rFonts w:ascii="仿宋_GB2312" w:eastAsia="仿宋_GB2312"/>
          <w:sz w:val="30"/>
          <w:szCs w:val="30"/>
        </w:rPr>
      </w:pPr>
      <w:r>
        <w:rPr>
          <w:rFonts w:hint="eastAsia" w:ascii="仿宋_GB2312" w:eastAsia="仿宋_GB2312"/>
          <w:sz w:val="30"/>
          <w:szCs w:val="30"/>
        </w:rPr>
        <w:t>（1）意向受让方应了解并承诺符合有关法律法规及监管规则以及标的债券转让条件及受让方资格要求；</w:t>
      </w:r>
    </w:p>
    <w:p w14:paraId="3609DFE2">
      <w:pPr>
        <w:ind w:firstLine="600" w:firstLineChars="200"/>
        <w:rPr>
          <w:rFonts w:ascii="仿宋_GB2312" w:eastAsia="仿宋_GB2312"/>
          <w:sz w:val="30"/>
          <w:szCs w:val="30"/>
        </w:rPr>
      </w:pPr>
      <w:r>
        <w:rPr>
          <w:rFonts w:hint="eastAsia" w:ascii="仿宋_GB2312" w:eastAsia="仿宋_GB2312"/>
          <w:sz w:val="30"/>
          <w:szCs w:val="30"/>
        </w:rPr>
        <w:t>（2）意向受让方应符合银行间债券市场投资者相关条件，包括金融机构及其管理产品、非金融机构合格投资人；</w:t>
      </w:r>
    </w:p>
    <w:p w14:paraId="0EC961C2">
      <w:pPr>
        <w:ind w:firstLine="600" w:firstLineChars="200"/>
        <w:rPr>
          <w:rFonts w:ascii="仿宋_GB2312" w:eastAsia="仿宋_GB2312"/>
          <w:sz w:val="30"/>
          <w:szCs w:val="30"/>
        </w:rPr>
      </w:pPr>
      <w:r>
        <w:rPr>
          <w:rFonts w:hint="eastAsia" w:ascii="仿宋_GB2312" w:eastAsia="仿宋_GB2312"/>
          <w:sz w:val="30"/>
          <w:szCs w:val="30"/>
        </w:rPr>
        <w:t>（3）意向受让方应具备健全的内部监控及风险管理制度。</w:t>
      </w:r>
    </w:p>
    <w:p w14:paraId="0F8FEABC">
      <w:pPr>
        <w:ind w:firstLine="602" w:firstLineChars="200"/>
        <w:rPr>
          <w:rFonts w:ascii="仿宋_GB2312" w:eastAsia="仿宋_GB2312"/>
          <w:sz w:val="30"/>
          <w:szCs w:val="30"/>
        </w:rPr>
      </w:pPr>
      <w:r>
        <w:rPr>
          <w:rFonts w:hint="eastAsia" w:ascii="仿宋_GB2312" w:eastAsia="仿宋_GB2312"/>
          <w:b/>
          <w:sz w:val="30"/>
          <w:szCs w:val="30"/>
        </w:rPr>
        <w:t>六、 受让申请及保证金</w:t>
      </w:r>
    </w:p>
    <w:p w14:paraId="5BB2A9E6">
      <w:pPr>
        <w:ind w:firstLine="602" w:firstLineChars="200"/>
        <w:rPr>
          <w:rFonts w:ascii="仿宋_GB2312" w:eastAsia="仿宋_GB2312"/>
          <w:b/>
          <w:sz w:val="30"/>
          <w:szCs w:val="30"/>
        </w:rPr>
      </w:pPr>
      <w:r>
        <w:rPr>
          <w:rFonts w:hint="eastAsia" w:ascii="仿宋_GB2312" w:eastAsia="仿宋_GB2312"/>
          <w:b/>
          <w:sz w:val="30"/>
          <w:szCs w:val="30"/>
        </w:rPr>
        <w:t>1、受让申请资料</w:t>
      </w:r>
    </w:p>
    <w:p w14:paraId="2F8EA733">
      <w:pPr>
        <w:ind w:firstLine="600" w:firstLineChars="200"/>
        <w:rPr>
          <w:rFonts w:ascii="仿宋_GB2312" w:eastAsia="仿宋_GB2312"/>
          <w:sz w:val="30"/>
          <w:szCs w:val="30"/>
        </w:rPr>
      </w:pPr>
      <w:r>
        <w:rPr>
          <w:rFonts w:hint="eastAsia" w:ascii="仿宋_GB2312" w:eastAsia="仿宋_GB2312"/>
          <w:sz w:val="30"/>
          <w:szCs w:val="30"/>
        </w:rPr>
        <w:t>参加本次转让的意向受让方应提交北金所网站公布的《北京金融资产交易所到期违约债券受让申请书》等受让申请资料。其中，非金融机构合格投资人直接向北金所提交加盖公章的申请材料，金融机构及非法人产品通过交易中心向北金所提交加盖公章的申请材料，具体受让申请材料如下：</w:t>
      </w:r>
    </w:p>
    <w:p w14:paraId="2470F612">
      <w:pPr>
        <w:ind w:firstLine="600" w:firstLineChars="200"/>
        <w:rPr>
          <w:rFonts w:ascii="仿宋_GB2312" w:eastAsia="仿宋_GB2312"/>
          <w:sz w:val="30"/>
          <w:szCs w:val="30"/>
          <w:u w:color="0000FF"/>
        </w:rPr>
      </w:pPr>
      <w:r>
        <w:rPr>
          <w:rFonts w:hint="eastAsia" w:ascii="仿宋_GB2312" w:eastAsia="仿宋_GB2312"/>
          <w:sz w:val="30"/>
          <w:szCs w:val="30"/>
          <w:u w:color="0000FF"/>
        </w:rPr>
        <w:t>《</w:t>
      </w:r>
      <w:r>
        <w:rPr>
          <w:rFonts w:hint="eastAsia" w:ascii="仿宋_GB2312" w:eastAsia="仿宋_GB2312"/>
          <w:sz w:val="30"/>
          <w:szCs w:val="30"/>
        </w:rPr>
        <w:t>北京金融资产交易所到期违约债券</w:t>
      </w:r>
      <w:r>
        <w:rPr>
          <w:rFonts w:hint="eastAsia" w:ascii="仿宋_GB2312" w:eastAsia="仿宋_GB2312"/>
          <w:sz w:val="30"/>
          <w:szCs w:val="30"/>
          <w:u w:color="0000FF"/>
        </w:rPr>
        <w:t>受让申请书》；</w:t>
      </w:r>
    </w:p>
    <w:p w14:paraId="6BBF2034">
      <w:pPr>
        <w:ind w:firstLine="600" w:firstLineChars="200"/>
        <w:rPr>
          <w:rFonts w:ascii="仿宋_GB2312" w:eastAsia="仿宋_GB2312"/>
          <w:sz w:val="30"/>
          <w:szCs w:val="30"/>
        </w:rPr>
      </w:pPr>
      <w:r>
        <w:rPr>
          <w:rFonts w:hint="eastAsia" w:ascii="仿宋_GB2312" w:eastAsia="仿宋_GB2312"/>
          <w:sz w:val="30"/>
          <w:szCs w:val="30"/>
        </w:rPr>
        <w:t>《北京金融资产交易所到期违约债券转让业务风险知悉承诺函》。</w:t>
      </w:r>
    </w:p>
    <w:p w14:paraId="6C69324E">
      <w:pPr>
        <w:ind w:firstLine="600" w:firstLineChars="200"/>
        <w:rPr>
          <w:rFonts w:ascii="仿宋_GB2312" w:eastAsia="仿宋_GB2312"/>
          <w:sz w:val="30"/>
          <w:szCs w:val="30"/>
        </w:rPr>
      </w:pPr>
      <w:r>
        <w:rPr>
          <w:rFonts w:hint="eastAsia" w:ascii="仿宋_GB2312" w:eastAsia="仿宋_GB2312"/>
          <w:sz w:val="30"/>
          <w:szCs w:val="30"/>
        </w:rPr>
        <w:t>意向受让方首次参与受让申请的，需通过邮件向北金所备案《到期违约债券投资内部风险管理制度》。</w:t>
      </w:r>
    </w:p>
    <w:p w14:paraId="5A15B8DD">
      <w:pPr>
        <w:ind w:firstLine="600" w:firstLineChars="200"/>
        <w:rPr>
          <w:rFonts w:ascii="仿宋_GB2312" w:eastAsia="仿宋_GB2312"/>
          <w:sz w:val="30"/>
          <w:szCs w:val="30"/>
        </w:rPr>
      </w:pPr>
      <w:r>
        <w:rPr>
          <w:rFonts w:hint="eastAsia" w:ascii="仿宋_GB2312" w:eastAsia="仿宋_GB2312"/>
          <w:sz w:val="30"/>
          <w:szCs w:val="30"/>
        </w:rPr>
        <w:t>北金所联系方式：</w:t>
      </w:r>
    </w:p>
    <w:p w14:paraId="3F79DD4A">
      <w:pPr>
        <w:ind w:firstLine="600" w:firstLineChars="200"/>
        <w:rPr>
          <w:rFonts w:ascii="仿宋_GB2312" w:eastAsia="仿宋_GB2312"/>
          <w:sz w:val="30"/>
          <w:szCs w:val="30"/>
        </w:rPr>
      </w:pPr>
      <w:r>
        <w:rPr>
          <w:rFonts w:hint="eastAsia" w:ascii="仿宋_GB2312" w:eastAsia="仿宋_GB2312"/>
          <w:sz w:val="30"/>
          <w:szCs w:val="30"/>
        </w:rPr>
        <w:t>电话：010-57896</w:t>
      </w:r>
      <w:r>
        <w:rPr>
          <w:rFonts w:ascii="仿宋_GB2312" w:eastAsia="仿宋_GB2312"/>
          <w:sz w:val="30"/>
          <w:szCs w:val="30"/>
        </w:rPr>
        <w:t>952</w:t>
      </w:r>
      <w:r>
        <w:rPr>
          <w:rFonts w:hint="eastAsia" w:ascii="仿宋_GB2312" w:eastAsia="仿宋_GB2312"/>
          <w:sz w:val="30"/>
          <w:szCs w:val="30"/>
        </w:rPr>
        <w:t xml:space="preserve">  邮箱：dqwy@cfae.cn</w:t>
      </w:r>
    </w:p>
    <w:p w14:paraId="0EC057A7">
      <w:pPr>
        <w:ind w:firstLine="602" w:firstLineChars="200"/>
        <w:rPr>
          <w:rFonts w:ascii="仿宋_GB2312" w:eastAsia="仿宋_GB2312"/>
          <w:b/>
          <w:sz w:val="30"/>
          <w:szCs w:val="30"/>
        </w:rPr>
      </w:pPr>
      <w:r>
        <w:rPr>
          <w:rFonts w:hint="eastAsia" w:ascii="仿宋_GB2312" w:eastAsia="仿宋_GB2312"/>
          <w:b/>
          <w:sz w:val="30"/>
          <w:szCs w:val="30"/>
        </w:rPr>
        <w:t>2、保证金</w:t>
      </w:r>
    </w:p>
    <w:p w14:paraId="5AFFB5CF">
      <w:pPr>
        <w:ind w:firstLine="602" w:firstLineChars="200"/>
        <w:rPr>
          <w:rFonts w:ascii="仿宋_GB2312" w:hAnsi="Calibri" w:eastAsia="仿宋_GB2312"/>
          <w:sz w:val="30"/>
          <w:szCs w:val="30"/>
        </w:rPr>
      </w:pPr>
      <w:r>
        <w:rPr>
          <w:rFonts w:hint="eastAsia" w:ascii="仿宋_GB2312" w:hAnsi="Calibri" w:eastAsia="仿宋_GB2312"/>
          <w:b/>
          <w:sz w:val="30"/>
          <w:szCs w:val="30"/>
        </w:rPr>
        <w:t>2.1</w:t>
      </w:r>
      <w:r>
        <w:rPr>
          <w:rFonts w:hint="eastAsia" w:ascii="仿宋_GB2312" w:hAnsi="Calibri" w:eastAsia="仿宋_GB2312"/>
          <w:sz w:val="30"/>
          <w:szCs w:val="30"/>
        </w:rPr>
        <w:t xml:space="preserve"> 受让方承诺按照北金所到期违约债券转让业务规则向登记结算机构缴纳保证金。</w:t>
      </w:r>
    </w:p>
    <w:p w14:paraId="3E344F07">
      <w:pPr>
        <w:ind w:firstLine="602" w:firstLineChars="200"/>
        <w:rPr>
          <w:rFonts w:ascii="仿宋_GB2312" w:hAnsi="Calibri" w:eastAsia="仿宋_GB2312"/>
          <w:sz w:val="30"/>
          <w:szCs w:val="30"/>
        </w:rPr>
      </w:pPr>
      <w:r>
        <w:rPr>
          <w:rFonts w:hint="eastAsia" w:ascii="仿宋_GB2312" w:hAnsi="Calibri" w:eastAsia="仿宋_GB2312"/>
          <w:b/>
          <w:sz w:val="30"/>
          <w:szCs w:val="30"/>
        </w:rPr>
        <w:t xml:space="preserve">2.2 </w:t>
      </w:r>
      <w:r>
        <w:rPr>
          <w:rFonts w:hint="eastAsia" w:ascii="仿宋_GB2312" w:hAnsi="Calibri" w:eastAsia="仿宋_GB2312"/>
          <w:sz w:val="30"/>
          <w:szCs w:val="30"/>
        </w:rPr>
        <w:t>受让方承诺，</w:t>
      </w:r>
      <w:r>
        <w:rPr>
          <w:rFonts w:hint="eastAsia" w:ascii="仿宋_GB2312" w:eastAsia="仿宋_GB2312"/>
          <w:sz w:val="30"/>
          <w:szCs w:val="30"/>
        </w:rPr>
        <w:t>在转让公示期前几个工作日每日16:00前或不晚于公示期最后一个工作日15:00前</w:t>
      </w:r>
      <w:r>
        <w:rPr>
          <w:rFonts w:hint="eastAsia" w:ascii="仿宋_GB2312" w:hAnsi="Calibri" w:eastAsia="仿宋_GB2312"/>
          <w:sz w:val="30"/>
          <w:szCs w:val="30"/>
        </w:rPr>
        <w:t>（以该等款项实际到达登记结算机构指定账户的时间为准）一次性缴付该等转让保证金。出现以下任何一种情况时，意向受让方同意将本方缴纳的保证金作为违约金支付给转让方：</w:t>
      </w:r>
    </w:p>
    <w:p w14:paraId="4F78C2A7">
      <w:pPr>
        <w:ind w:firstLine="600" w:firstLineChars="200"/>
        <w:rPr>
          <w:rFonts w:ascii="仿宋_GB2312" w:hAnsi="Calibri" w:eastAsia="仿宋_GB2312"/>
          <w:sz w:val="30"/>
          <w:szCs w:val="30"/>
        </w:rPr>
      </w:pPr>
      <w:r>
        <w:rPr>
          <w:rFonts w:hint="eastAsia" w:ascii="仿宋_GB2312" w:eastAsia="仿宋_GB2312"/>
          <w:sz w:val="30"/>
          <w:szCs w:val="30"/>
        </w:rPr>
        <w:t>（1）</w:t>
      </w:r>
      <w:r>
        <w:rPr>
          <w:rFonts w:hint="eastAsia" w:ascii="仿宋_GB2312" w:hAnsi="Calibri" w:eastAsia="仿宋_GB2312"/>
          <w:sz w:val="30"/>
          <w:szCs w:val="30"/>
        </w:rPr>
        <w:t>意向受让方存在不当行为，包括但不限于：意向受让方提供的资料和信息存在虚假、不真实、不完整、不具有效力、不符合要求等情形、意向受让方自身资质不符合法律法规相关条件的；</w:t>
      </w:r>
    </w:p>
    <w:p w14:paraId="3C55E4A7">
      <w:pPr>
        <w:ind w:firstLine="600" w:firstLineChars="200"/>
        <w:rPr>
          <w:rFonts w:ascii="仿宋_GB2312" w:hAnsi="Calibri" w:eastAsia="仿宋_GB2312"/>
          <w:sz w:val="30"/>
          <w:szCs w:val="30"/>
        </w:rPr>
      </w:pPr>
      <w:r>
        <w:rPr>
          <w:rFonts w:hint="eastAsia" w:ascii="仿宋_GB2312" w:eastAsia="仿宋_GB2312"/>
          <w:sz w:val="30"/>
          <w:szCs w:val="30"/>
        </w:rPr>
        <w:t>（2）</w:t>
      </w:r>
      <w:r>
        <w:rPr>
          <w:rFonts w:hint="eastAsia" w:ascii="仿宋_GB2312" w:hAnsi="Calibri" w:eastAsia="仿宋_GB2312"/>
          <w:sz w:val="30"/>
          <w:szCs w:val="30"/>
        </w:rPr>
        <w:t>意向受让方通过受让资格确认并缴纳保证金后单方撤回受让申请的；</w:t>
      </w:r>
    </w:p>
    <w:p w14:paraId="0606F1CE">
      <w:pPr>
        <w:ind w:firstLine="600" w:firstLineChars="200"/>
        <w:rPr>
          <w:rFonts w:ascii="仿宋_GB2312" w:hAnsi="Calibri" w:eastAsia="仿宋_GB2312"/>
          <w:sz w:val="30"/>
          <w:szCs w:val="30"/>
        </w:rPr>
      </w:pPr>
      <w:r>
        <w:rPr>
          <w:rFonts w:hint="eastAsia" w:ascii="仿宋_GB2312" w:eastAsia="仿宋_GB2312"/>
          <w:sz w:val="30"/>
          <w:szCs w:val="30"/>
        </w:rPr>
        <w:t>（3）</w:t>
      </w:r>
      <w:r>
        <w:rPr>
          <w:rFonts w:hint="eastAsia" w:ascii="仿宋_GB2312" w:hAnsi="Calibri" w:eastAsia="仿宋_GB2312"/>
          <w:sz w:val="30"/>
          <w:szCs w:val="30"/>
        </w:rPr>
        <w:t>受让方成为中标受让方，券款对付（DVP）结算失败的。</w:t>
      </w:r>
    </w:p>
    <w:p w14:paraId="77FEBA7D">
      <w:pPr>
        <w:ind w:firstLine="602" w:firstLineChars="200"/>
        <w:rPr>
          <w:rFonts w:ascii="仿宋_GB2312" w:hAnsi="Calibri" w:eastAsia="仿宋_GB2312"/>
          <w:sz w:val="30"/>
          <w:szCs w:val="30"/>
        </w:rPr>
      </w:pPr>
      <w:r>
        <w:rPr>
          <w:rFonts w:hint="eastAsia" w:ascii="仿宋_GB2312" w:eastAsia="仿宋_GB2312"/>
          <w:b/>
          <w:sz w:val="30"/>
          <w:szCs w:val="30"/>
        </w:rPr>
        <w:t xml:space="preserve">七、剩余价款的支付 </w:t>
      </w:r>
    </w:p>
    <w:p w14:paraId="6DB5E2D7">
      <w:pPr>
        <w:ind w:firstLine="600" w:firstLineChars="200"/>
        <w:rPr>
          <w:rFonts w:ascii="仿宋_GB2312" w:eastAsia="仿宋_GB2312"/>
          <w:sz w:val="30"/>
          <w:szCs w:val="30"/>
        </w:rPr>
      </w:pPr>
      <w:r>
        <w:rPr>
          <w:rFonts w:hint="eastAsia" w:ascii="仿宋_GB2312" w:eastAsia="仿宋_GB2312"/>
          <w:sz w:val="30"/>
          <w:szCs w:val="30"/>
        </w:rPr>
        <w:t>意向受让方在确定中标后，应按照交易中心出具的成交单指定的时间及金额向指定账户一次性支付全部剩余价款。</w:t>
      </w:r>
    </w:p>
    <w:p w14:paraId="1F8CBCB0">
      <w:pPr>
        <w:ind w:firstLine="602" w:firstLineChars="200"/>
        <w:rPr>
          <w:rFonts w:ascii="仿宋_GB2312" w:eastAsia="仿宋_GB2312"/>
          <w:sz w:val="30"/>
          <w:szCs w:val="30"/>
        </w:rPr>
      </w:pPr>
      <w:r>
        <w:rPr>
          <w:rFonts w:hint="eastAsia" w:ascii="仿宋_GB2312" w:eastAsia="仿宋_GB2312"/>
          <w:b/>
          <w:sz w:val="30"/>
          <w:szCs w:val="30"/>
        </w:rPr>
        <w:t>八、 保密</w:t>
      </w:r>
    </w:p>
    <w:p w14:paraId="42420E27">
      <w:pPr>
        <w:ind w:firstLine="600" w:firstLineChars="200"/>
        <w:rPr>
          <w:rFonts w:ascii="仿宋_GB2312" w:eastAsia="仿宋_GB2312"/>
          <w:sz w:val="30"/>
          <w:szCs w:val="30"/>
        </w:rPr>
      </w:pPr>
      <w:r>
        <w:rPr>
          <w:rFonts w:hint="eastAsia" w:ascii="仿宋_GB2312" w:eastAsia="仿宋_GB2312"/>
          <w:sz w:val="30"/>
          <w:szCs w:val="30"/>
        </w:rPr>
        <w:t>意向受让方无论是否成功受让，均应严格保守在调查和转让过程中知悉的有关转让方、债权人相关的商业秘密和其它有关信息，未经转让方的事先书面许可，不得在任何场合，以任何方式披露或使用该等信息。</w:t>
      </w:r>
    </w:p>
    <w:p w14:paraId="4CFE7F93">
      <w:pPr>
        <w:ind w:firstLine="602" w:firstLineChars="200"/>
        <w:rPr>
          <w:rFonts w:ascii="仿宋_GB2312" w:eastAsia="仿宋_GB2312"/>
          <w:b/>
          <w:sz w:val="30"/>
          <w:szCs w:val="30"/>
        </w:rPr>
      </w:pPr>
      <w:r>
        <w:rPr>
          <w:rFonts w:hint="eastAsia" w:ascii="仿宋_GB2312" w:eastAsia="仿宋_GB2312"/>
          <w:b/>
          <w:sz w:val="30"/>
          <w:szCs w:val="30"/>
        </w:rPr>
        <w:t>九、 意向受让方的决策和《北京金融资产交易所到期违约债券转让业务风险知悉承诺函》的签署</w:t>
      </w:r>
    </w:p>
    <w:p w14:paraId="395B8226">
      <w:pPr>
        <w:ind w:firstLine="600" w:firstLineChars="200"/>
        <w:rPr>
          <w:rFonts w:ascii="仿宋_GB2312" w:eastAsia="仿宋_GB2312"/>
          <w:sz w:val="30"/>
          <w:szCs w:val="30"/>
        </w:rPr>
      </w:pPr>
      <w:r>
        <w:rPr>
          <w:rFonts w:hint="eastAsia" w:ascii="仿宋_GB2312" w:eastAsia="仿宋_GB2312"/>
          <w:sz w:val="30"/>
          <w:szCs w:val="30"/>
        </w:rPr>
        <w:t>意向受让方应仔细阅读本须知，并且在独立进行尽职调查的基础上，独立、审慎进行决策。意向受让方在理解以上全部信息后，若参加竞价转让的，应当在向北金所缴纳保证金前，签署《北京金融资产交易所到期违约债券转让业务风险知悉承诺函》。</w:t>
      </w:r>
    </w:p>
    <w:p w14:paraId="1ADEB693">
      <w:pPr>
        <w:ind w:firstLine="600" w:firstLineChars="200"/>
        <w:rPr>
          <w:rFonts w:ascii="仿宋_GB2312" w:eastAsia="仿宋_GB2312"/>
          <w:sz w:val="30"/>
          <w:szCs w:val="30"/>
        </w:rPr>
      </w:pPr>
    </w:p>
    <w:p w14:paraId="03F59B69">
      <w:r>
        <w:br w:type="page"/>
      </w:r>
    </w:p>
    <w:p w14:paraId="279DADB5">
      <w:pPr>
        <w:ind w:firstLine="480" w:firstLineChars="200"/>
      </w:pPr>
    </w:p>
    <w:p w14:paraId="07D62B26">
      <w:pPr>
        <w:wordWrap w:val="0"/>
        <w:spacing w:line="360" w:lineRule="auto"/>
        <w:jc w:val="right"/>
        <w:rPr>
          <w:rFonts w:ascii="仿宋_GB2312" w:eastAsia="仿宋_GB2312" w:cs="Times New Roman"/>
          <w:sz w:val="30"/>
          <w:szCs w:val="30"/>
        </w:rPr>
      </w:pPr>
      <w:r>
        <w:rPr>
          <w:rFonts w:hint="eastAsia" w:ascii="仿宋_GB2312" w:eastAsia="仿宋_GB2312" w:cs="Times New Roman"/>
          <w:sz w:val="30"/>
          <w:szCs w:val="30"/>
        </w:rPr>
        <w:t>申请编号</w:t>
      </w:r>
      <w:r>
        <w:rPr>
          <w:rFonts w:ascii="仿宋_GB2312" w:eastAsia="仿宋_GB2312" w:cs="Times New Roman"/>
          <w:sz w:val="30"/>
          <w:szCs w:val="30"/>
        </w:rPr>
        <w:t>：</w:t>
      </w:r>
      <w:r>
        <w:rPr>
          <w:rFonts w:hint="eastAsia" w:ascii="仿宋_GB2312" w:eastAsia="仿宋_GB2312" w:cs="Times New Roman"/>
          <w:sz w:val="30"/>
          <w:szCs w:val="30"/>
        </w:rPr>
        <w:t xml:space="preserve"> </w:t>
      </w:r>
      <w:r>
        <w:rPr>
          <w:rFonts w:ascii="仿宋_GB2312" w:eastAsia="仿宋_GB2312" w:cs="Times New Roman"/>
          <w:sz w:val="30"/>
          <w:szCs w:val="30"/>
        </w:rPr>
        <w:t xml:space="preserve">      </w:t>
      </w:r>
    </w:p>
    <w:p w14:paraId="70E263DF">
      <w:pPr>
        <w:spacing w:line="360" w:lineRule="auto"/>
        <w:rPr>
          <w:rFonts w:ascii="仿宋_GB2312" w:eastAsia="仿宋_GB2312" w:cs="Times New Roman"/>
          <w:sz w:val="30"/>
          <w:szCs w:val="30"/>
        </w:rPr>
      </w:pPr>
      <w:r>
        <w:rPr>
          <w:rFonts w:hint="eastAsia" w:ascii="仿宋_GB2312" w:eastAsia="仿宋_GB2312" w:cs="Times New Roman"/>
          <w:sz w:val="30"/>
          <w:szCs w:val="30"/>
        </w:rPr>
        <w:t>附件</w:t>
      </w:r>
      <w:r>
        <w:rPr>
          <w:rFonts w:ascii="仿宋_GB2312" w:eastAsia="仿宋_GB2312" w:cs="Times New Roman"/>
          <w:sz w:val="30"/>
          <w:szCs w:val="30"/>
        </w:rPr>
        <w:t>1</w:t>
      </w:r>
      <w:r>
        <w:rPr>
          <w:rFonts w:hint="eastAsia" w:ascii="仿宋_GB2312" w:eastAsia="仿宋_GB2312" w:cs="Times New Roman"/>
          <w:sz w:val="30"/>
          <w:szCs w:val="30"/>
        </w:rPr>
        <w:t>：</w:t>
      </w:r>
    </w:p>
    <w:p w14:paraId="344980FC">
      <w:pPr>
        <w:spacing w:line="360" w:lineRule="auto"/>
        <w:jc w:val="center"/>
        <w:rPr>
          <w:b/>
          <w:bCs/>
          <w:color w:val="303030"/>
          <w:sz w:val="36"/>
          <w:szCs w:val="36"/>
        </w:rPr>
      </w:pPr>
      <w:r>
        <w:rPr>
          <w:rFonts w:hint="eastAsia"/>
          <w:b/>
          <w:bCs/>
          <w:color w:val="303030"/>
          <w:sz w:val="36"/>
          <w:szCs w:val="36"/>
        </w:rPr>
        <w:t>北京金融资产交易所</w:t>
      </w:r>
    </w:p>
    <w:p w14:paraId="5D93B238">
      <w:pPr>
        <w:spacing w:line="360" w:lineRule="auto"/>
        <w:jc w:val="center"/>
        <w:rPr>
          <w:b/>
          <w:bCs/>
          <w:color w:val="303030"/>
          <w:sz w:val="36"/>
          <w:szCs w:val="36"/>
        </w:rPr>
      </w:pPr>
      <w:r>
        <w:rPr>
          <w:rFonts w:hint="eastAsia"/>
          <w:b/>
          <w:bCs/>
          <w:color w:val="303030"/>
          <w:sz w:val="36"/>
          <w:szCs w:val="36"/>
        </w:rPr>
        <w:t>动态报价线下业务委托单</w:t>
      </w:r>
    </w:p>
    <w:p w14:paraId="311A25EE">
      <w:pPr>
        <w:spacing w:line="360" w:lineRule="auto"/>
        <w:jc w:val="center"/>
        <w:rPr>
          <w:b/>
          <w:bCs/>
          <w:color w:val="303030"/>
          <w:sz w:val="36"/>
          <w:szCs w:val="36"/>
        </w:rPr>
      </w:pPr>
      <w:r>
        <w:rPr>
          <w:rFonts w:hint="eastAsia"/>
          <w:b/>
          <w:bCs/>
          <w:color w:val="303030"/>
          <w:sz w:val="36"/>
          <w:szCs w:val="36"/>
        </w:rPr>
        <w:t>（自由报价期意向受让方填写）</w:t>
      </w:r>
    </w:p>
    <w:tbl>
      <w:tblPr>
        <w:tblStyle w:val="8"/>
        <w:tblW w:w="9209" w:type="dxa"/>
        <w:tblInd w:w="0" w:type="dxa"/>
        <w:tblLayout w:type="autofit"/>
        <w:tblCellMar>
          <w:top w:w="0" w:type="dxa"/>
          <w:left w:w="108" w:type="dxa"/>
          <w:bottom w:w="0" w:type="dxa"/>
          <w:right w:w="108" w:type="dxa"/>
        </w:tblCellMar>
      </w:tblPr>
      <w:tblGrid>
        <w:gridCol w:w="2547"/>
        <w:gridCol w:w="2126"/>
        <w:gridCol w:w="2126"/>
        <w:gridCol w:w="2410"/>
      </w:tblGrid>
      <w:tr w14:paraId="176E4D53">
        <w:tblPrEx>
          <w:tblCellMar>
            <w:top w:w="0" w:type="dxa"/>
            <w:left w:w="108" w:type="dxa"/>
            <w:bottom w:w="0" w:type="dxa"/>
            <w:right w:w="108" w:type="dxa"/>
          </w:tblCellMar>
        </w:tblPrEx>
        <w:trPr>
          <w:trHeight w:val="270" w:hRule="atLeast"/>
        </w:trPr>
        <w:tc>
          <w:tcPr>
            <w:tcW w:w="2547" w:type="dxa"/>
            <w:tcBorders>
              <w:top w:val="single" w:color="auto" w:sz="4" w:space="0"/>
              <w:left w:val="single" w:color="auto" w:sz="4" w:space="0"/>
              <w:bottom w:val="single" w:color="auto" w:sz="4" w:space="0"/>
              <w:right w:val="single" w:color="auto" w:sz="4" w:space="0"/>
            </w:tcBorders>
            <w:noWrap/>
            <w:vAlign w:val="center"/>
          </w:tcPr>
          <w:p w14:paraId="38C5F605">
            <w:pPr>
              <w:jc w:val="center"/>
              <w:rPr>
                <w:color w:val="000000"/>
                <w:sz w:val="22"/>
              </w:rPr>
            </w:pPr>
            <w:r>
              <w:rPr>
                <w:rFonts w:hint="eastAsia" w:ascii="仿宋_GB2312" w:eastAsia="仿宋_GB2312"/>
                <w:sz w:val="30"/>
                <w:szCs w:val="30"/>
              </w:rPr>
              <w:t>意向受让方全称</w:t>
            </w:r>
            <w:r>
              <w:rPr>
                <w:rStyle w:val="11"/>
                <w:rFonts w:ascii="仿宋_GB2312" w:eastAsia="仿宋_GB2312"/>
                <w:sz w:val="30"/>
                <w:szCs w:val="30"/>
              </w:rPr>
              <w:footnoteReference w:id="0"/>
            </w:r>
          </w:p>
        </w:tc>
        <w:tc>
          <w:tcPr>
            <w:tcW w:w="6662" w:type="dxa"/>
            <w:gridSpan w:val="3"/>
            <w:tcBorders>
              <w:top w:val="single" w:color="auto" w:sz="4" w:space="0"/>
              <w:left w:val="nil"/>
              <w:bottom w:val="single" w:color="auto" w:sz="4" w:space="0"/>
              <w:right w:val="single" w:color="auto" w:sz="4" w:space="0"/>
            </w:tcBorders>
            <w:noWrap/>
            <w:vAlign w:val="center"/>
          </w:tcPr>
          <w:p w14:paraId="676A9825">
            <w:pPr>
              <w:jc w:val="center"/>
              <w:rPr>
                <w:color w:val="000000"/>
                <w:sz w:val="22"/>
              </w:rPr>
            </w:pPr>
            <w:r>
              <w:rPr>
                <w:rFonts w:hint="eastAsia"/>
                <w:color w:val="000000"/>
                <w:sz w:val="22"/>
              </w:rPr>
              <w:t>　</w:t>
            </w:r>
          </w:p>
        </w:tc>
      </w:tr>
      <w:tr w14:paraId="61F24637">
        <w:tblPrEx>
          <w:tblCellMar>
            <w:top w:w="0" w:type="dxa"/>
            <w:left w:w="108" w:type="dxa"/>
            <w:bottom w:w="0" w:type="dxa"/>
            <w:right w:w="108" w:type="dxa"/>
          </w:tblCellMar>
        </w:tblPrEx>
        <w:trPr>
          <w:trHeight w:val="270" w:hRule="atLeast"/>
        </w:trPr>
        <w:tc>
          <w:tcPr>
            <w:tcW w:w="2547" w:type="dxa"/>
            <w:tcBorders>
              <w:top w:val="single" w:color="auto" w:sz="4" w:space="0"/>
              <w:left w:val="single" w:color="auto" w:sz="4" w:space="0"/>
              <w:bottom w:val="single" w:color="auto" w:sz="4" w:space="0"/>
              <w:right w:val="single" w:color="auto" w:sz="4" w:space="0"/>
            </w:tcBorders>
            <w:noWrap/>
            <w:vAlign w:val="center"/>
          </w:tcPr>
          <w:p w14:paraId="6C131BD1">
            <w:pPr>
              <w:jc w:val="center"/>
              <w:rPr>
                <w:rFonts w:ascii="仿宋_GB2312" w:eastAsia="仿宋_GB2312"/>
                <w:sz w:val="30"/>
                <w:szCs w:val="30"/>
              </w:rPr>
            </w:pPr>
            <w:r>
              <w:rPr>
                <w:rFonts w:hint="eastAsia" w:ascii="仿宋_GB2312" w:eastAsia="仿宋_GB2312"/>
                <w:sz w:val="30"/>
                <w:szCs w:val="30"/>
              </w:rPr>
              <w:t>意向受让方简称</w:t>
            </w:r>
            <w:r>
              <w:rPr>
                <w:rStyle w:val="11"/>
                <w:rFonts w:hint="eastAsia" w:ascii="仿宋_GB2312" w:eastAsia="仿宋_GB2312"/>
                <w:sz w:val="30"/>
                <w:szCs w:val="30"/>
              </w:rPr>
              <w:footnoteReference w:id="1" w:customMarkFollows="1"/>
              <w:t>1</w:t>
            </w:r>
          </w:p>
        </w:tc>
        <w:tc>
          <w:tcPr>
            <w:tcW w:w="6662" w:type="dxa"/>
            <w:gridSpan w:val="3"/>
            <w:tcBorders>
              <w:top w:val="single" w:color="auto" w:sz="4" w:space="0"/>
              <w:left w:val="nil"/>
              <w:bottom w:val="single" w:color="auto" w:sz="4" w:space="0"/>
              <w:right w:val="single" w:color="auto" w:sz="4" w:space="0"/>
            </w:tcBorders>
            <w:noWrap/>
            <w:vAlign w:val="center"/>
          </w:tcPr>
          <w:p w14:paraId="27137406">
            <w:pPr>
              <w:jc w:val="center"/>
              <w:rPr>
                <w:color w:val="000000"/>
                <w:sz w:val="22"/>
              </w:rPr>
            </w:pPr>
          </w:p>
        </w:tc>
      </w:tr>
      <w:tr w14:paraId="3BE86504">
        <w:tblPrEx>
          <w:tblCellMar>
            <w:top w:w="0" w:type="dxa"/>
            <w:left w:w="108" w:type="dxa"/>
            <w:bottom w:w="0" w:type="dxa"/>
            <w:right w:w="108" w:type="dxa"/>
          </w:tblCellMar>
        </w:tblPrEx>
        <w:trPr>
          <w:trHeight w:val="270" w:hRule="atLeast"/>
        </w:trPr>
        <w:tc>
          <w:tcPr>
            <w:tcW w:w="2547" w:type="dxa"/>
            <w:tcBorders>
              <w:top w:val="nil"/>
              <w:left w:val="single" w:color="auto" w:sz="4" w:space="0"/>
              <w:bottom w:val="single" w:color="auto" w:sz="4" w:space="0"/>
              <w:right w:val="single" w:color="auto" w:sz="4" w:space="0"/>
            </w:tcBorders>
            <w:noWrap/>
            <w:vAlign w:val="center"/>
          </w:tcPr>
          <w:p w14:paraId="0A7E2316">
            <w:pPr>
              <w:jc w:val="center"/>
              <w:rPr>
                <w:color w:val="000000"/>
                <w:sz w:val="22"/>
              </w:rPr>
            </w:pPr>
            <w:r>
              <w:rPr>
                <w:rFonts w:hint="eastAsia" w:ascii="仿宋_GB2312" w:eastAsia="仿宋_GB2312"/>
                <w:sz w:val="30"/>
                <w:szCs w:val="30"/>
              </w:rPr>
              <w:t>联系人</w:t>
            </w:r>
          </w:p>
        </w:tc>
        <w:tc>
          <w:tcPr>
            <w:tcW w:w="2126" w:type="dxa"/>
            <w:tcBorders>
              <w:top w:val="nil"/>
              <w:left w:val="nil"/>
              <w:bottom w:val="single" w:color="auto" w:sz="4" w:space="0"/>
              <w:right w:val="single" w:color="auto" w:sz="4" w:space="0"/>
            </w:tcBorders>
            <w:noWrap/>
            <w:vAlign w:val="center"/>
          </w:tcPr>
          <w:p w14:paraId="4599B110">
            <w:pPr>
              <w:jc w:val="center"/>
              <w:rPr>
                <w:color w:val="000000"/>
                <w:sz w:val="22"/>
              </w:rPr>
            </w:pPr>
            <w:r>
              <w:rPr>
                <w:rFonts w:hint="eastAsia"/>
                <w:color w:val="000000"/>
                <w:sz w:val="22"/>
              </w:rPr>
              <w:t>　</w:t>
            </w:r>
          </w:p>
        </w:tc>
        <w:tc>
          <w:tcPr>
            <w:tcW w:w="2126" w:type="dxa"/>
            <w:tcBorders>
              <w:top w:val="nil"/>
              <w:left w:val="nil"/>
              <w:bottom w:val="single" w:color="auto" w:sz="4" w:space="0"/>
              <w:right w:val="single" w:color="auto" w:sz="4" w:space="0"/>
            </w:tcBorders>
            <w:noWrap/>
            <w:vAlign w:val="center"/>
          </w:tcPr>
          <w:p w14:paraId="19DE3CC8">
            <w:pPr>
              <w:jc w:val="center"/>
              <w:rPr>
                <w:color w:val="000000"/>
                <w:sz w:val="22"/>
              </w:rPr>
            </w:pPr>
            <w:r>
              <w:rPr>
                <w:rFonts w:hint="eastAsia" w:ascii="仿宋_GB2312" w:eastAsia="仿宋_GB2312"/>
                <w:sz w:val="30"/>
                <w:szCs w:val="30"/>
              </w:rPr>
              <w:t>联系方式</w:t>
            </w:r>
          </w:p>
        </w:tc>
        <w:tc>
          <w:tcPr>
            <w:tcW w:w="2410" w:type="dxa"/>
            <w:tcBorders>
              <w:top w:val="nil"/>
              <w:left w:val="nil"/>
              <w:bottom w:val="single" w:color="auto" w:sz="4" w:space="0"/>
              <w:right w:val="single" w:color="auto" w:sz="4" w:space="0"/>
            </w:tcBorders>
            <w:noWrap/>
            <w:vAlign w:val="bottom"/>
          </w:tcPr>
          <w:p w14:paraId="5D4D81E8">
            <w:pPr>
              <w:rPr>
                <w:color w:val="000000"/>
                <w:sz w:val="22"/>
              </w:rPr>
            </w:pPr>
            <w:r>
              <w:rPr>
                <w:rFonts w:hint="eastAsia"/>
                <w:color w:val="000000"/>
                <w:sz w:val="22"/>
              </w:rPr>
              <w:t>　</w:t>
            </w:r>
          </w:p>
        </w:tc>
      </w:tr>
      <w:tr w14:paraId="181467EB">
        <w:tblPrEx>
          <w:tblCellMar>
            <w:top w:w="0" w:type="dxa"/>
            <w:left w:w="108" w:type="dxa"/>
            <w:bottom w:w="0" w:type="dxa"/>
            <w:right w:w="108" w:type="dxa"/>
          </w:tblCellMar>
        </w:tblPrEx>
        <w:trPr>
          <w:trHeight w:val="270" w:hRule="atLeast"/>
        </w:trPr>
        <w:tc>
          <w:tcPr>
            <w:tcW w:w="2547" w:type="dxa"/>
            <w:tcBorders>
              <w:top w:val="nil"/>
              <w:left w:val="single" w:color="auto" w:sz="4" w:space="0"/>
              <w:bottom w:val="single" w:color="auto" w:sz="4" w:space="0"/>
              <w:right w:val="single" w:color="auto" w:sz="4" w:space="0"/>
            </w:tcBorders>
            <w:noWrap/>
            <w:vAlign w:val="center"/>
          </w:tcPr>
          <w:p w14:paraId="7C1F3AA7">
            <w:pPr>
              <w:jc w:val="center"/>
              <w:rPr>
                <w:color w:val="000000"/>
                <w:sz w:val="22"/>
              </w:rPr>
            </w:pPr>
            <w:r>
              <w:rPr>
                <w:rFonts w:hint="eastAsia" w:ascii="仿宋_GB2312" w:eastAsia="仿宋_GB2312"/>
                <w:sz w:val="30"/>
                <w:szCs w:val="30"/>
              </w:rPr>
              <w:t>项目编号</w:t>
            </w:r>
          </w:p>
        </w:tc>
        <w:tc>
          <w:tcPr>
            <w:tcW w:w="6662" w:type="dxa"/>
            <w:gridSpan w:val="3"/>
            <w:tcBorders>
              <w:top w:val="single" w:color="auto" w:sz="4" w:space="0"/>
              <w:left w:val="nil"/>
              <w:bottom w:val="single" w:color="auto" w:sz="4" w:space="0"/>
              <w:right w:val="single" w:color="auto" w:sz="4" w:space="0"/>
            </w:tcBorders>
            <w:noWrap/>
            <w:vAlign w:val="center"/>
          </w:tcPr>
          <w:p w14:paraId="22EDB9BC">
            <w:pPr>
              <w:jc w:val="center"/>
              <w:rPr>
                <w:color w:val="000000"/>
                <w:sz w:val="22"/>
              </w:rPr>
            </w:pPr>
            <w:r>
              <w:rPr>
                <w:rFonts w:hint="eastAsia"/>
                <w:color w:val="000000"/>
                <w:sz w:val="22"/>
              </w:rPr>
              <w:t>　</w:t>
            </w:r>
          </w:p>
        </w:tc>
      </w:tr>
      <w:tr w14:paraId="665756BC">
        <w:tblPrEx>
          <w:tblCellMar>
            <w:top w:w="0" w:type="dxa"/>
            <w:left w:w="108" w:type="dxa"/>
            <w:bottom w:w="0" w:type="dxa"/>
            <w:right w:w="108" w:type="dxa"/>
          </w:tblCellMar>
        </w:tblPrEx>
        <w:trPr>
          <w:trHeight w:val="270" w:hRule="atLeast"/>
        </w:trPr>
        <w:tc>
          <w:tcPr>
            <w:tcW w:w="2547" w:type="dxa"/>
            <w:tcBorders>
              <w:top w:val="nil"/>
              <w:left w:val="single" w:color="auto" w:sz="4" w:space="0"/>
              <w:bottom w:val="single" w:color="auto" w:sz="4" w:space="0"/>
              <w:right w:val="single" w:color="auto" w:sz="4" w:space="0"/>
            </w:tcBorders>
            <w:noWrap/>
            <w:vAlign w:val="center"/>
          </w:tcPr>
          <w:p w14:paraId="096EC90D">
            <w:pPr>
              <w:jc w:val="center"/>
              <w:rPr>
                <w:color w:val="000000"/>
                <w:sz w:val="22"/>
              </w:rPr>
            </w:pPr>
            <w:r>
              <w:rPr>
                <w:rFonts w:hint="eastAsia" w:ascii="仿宋_GB2312" w:eastAsia="仿宋_GB2312"/>
                <w:sz w:val="30"/>
                <w:szCs w:val="30"/>
              </w:rPr>
              <w:t>标的债券全称</w:t>
            </w:r>
          </w:p>
        </w:tc>
        <w:tc>
          <w:tcPr>
            <w:tcW w:w="6662" w:type="dxa"/>
            <w:gridSpan w:val="3"/>
            <w:tcBorders>
              <w:top w:val="single" w:color="auto" w:sz="4" w:space="0"/>
              <w:left w:val="nil"/>
              <w:bottom w:val="single" w:color="auto" w:sz="4" w:space="0"/>
              <w:right w:val="single" w:color="auto" w:sz="4" w:space="0"/>
            </w:tcBorders>
            <w:noWrap/>
            <w:vAlign w:val="center"/>
          </w:tcPr>
          <w:p w14:paraId="73D59805">
            <w:pPr>
              <w:jc w:val="center"/>
              <w:rPr>
                <w:color w:val="000000"/>
                <w:sz w:val="22"/>
              </w:rPr>
            </w:pPr>
            <w:r>
              <w:rPr>
                <w:rFonts w:hint="eastAsia"/>
                <w:color w:val="000000"/>
                <w:sz w:val="22"/>
              </w:rPr>
              <w:t>　</w:t>
            </w:r>
          </w:p>
        </w:tc>
      </w:tr>
      <w:tr w14:paraId="652830FF">
        <w:tblPrEx>
          <w:tblCellMar>
            <w:top w:w="0" w:type="dxa"/>
            <w:left w:w="108" w:type="dxa"/>
            <w:bottom w:w="0" w:type="dxa"/>
            <w:right w:w="108" w:type="dxa"/>
          </w:tblCellMar>
        </w:tblPrEx>
        <w:trPr>
          <w:trHeight w:val="270" w:hRule="atLeast"/>
        </w:trPr>
        <w:tc>
          <w:tcPr>
            <w:tcW w:w="2547" w:type="dxa"/>
            <w:tcBorders>
              <w:top w:val="nil"/>
              <w:left w:val="single" w:color="auto" w:sz="4" w:space="0"/>
              <w:bottom w:val="single" w:color="auto" w:sz="4" w:space="0"/>
              <w:right w:val="single" w:color="auto" w:sz="4" w:space="0"/>
            </w:tcBorders>
            <w:noWrap/>
            <w:vAlign w:val="center"/>
          </w:tcPr>
          <w:p w14:paraId="7376B521">
            <w:pPr>
              <w:jc w:val="center"/>
              <w:rPr>
                <w:rFonts w:ascii="仿宋_GB2312" w:eastAsia="仿宋_GB2312"/>
                <w:sz w:val="30"/>
                <w:szCs w:val="30"/>
              </w:rPr>
            </w:pPr>
            <w:r>
              <w:rPr>
                <w:rFonts w:hint="eastAsia" w:ascii="仿宋_GB2312" w:eastAsia="仿宋_GB2312"/>
                <w:sz w:val="30"/>
                <w:szCs w:val="30"/>
              </w:rPr>
              <w:t>债券简称</w:t>
            </w:r>
          </w:p>
        </w:tc>
        <w:tc>
          <w:tcPr>
            <w:tcW w:w="2126" w:type="dxa"/>
            <w:tcBorders>
              <w:top w:val="single" w:color="auto" w:sz="4" w:space="0"/>
              <w:left w:val="nil"/>
              <w:bottom w:val="single" w:color="auto" w:sz="4" w:space="0"/>
              <w:right w:val="single" w:color="auto" w:sz="4" w:space="0"/>
            </w:tcBorders>
            <w:noWrap/>
            <w:vAlign w:val="center"/>
          </w:tcPr>
          <w:p w14:paraId="6186AA01">
            <w:pPr>
              <w:jc w:val="center"/>
              <w:rPr>
                <w:color w:val="000000"/>
                <w:sz w:val="22"/>
              </w:rPr>
            </w:pPr>
          </w:p>
        </w:tc>
        <w:tc>
          <w:tcPr>
            <w:tcW w:w="2126" w:type="dxa"/>
            <w:tcBorders>
              <w:top w:val="single" w:color="auto" w:sz="4" w:space="0"/>
              <w:left w:val="nil"/>
              <w:bottom w:val="single" w:color="auto" w:sz="4" w:space="0"/>
              <w:right w:val="single" w:color="auto" w:sz="4" w:space="0"/>
            </w:tcBorders>
            <w:vAlign w:val="center"/>
          </w:tcPr>
          <w:p w14:paraId="620F5F16">
            <w:pPr>
              <w:jc w:val="center"/>
              <w:rPr>
                <w:color w:val="000000"/>
                <w:sz w:val="22"/>
              </w:rPr>
            </w:pPr>
            <w:r>
              <w:rPr>
                <w:rFonts w:hint="eastAsia" w:ascii="仿宋_GB2312" w:eastAsia="仿宋_GB2312"/>
                <w:sz w:val="30"/>
                <w:szCs w:val="30"/>
              </w:rPr>
              <w:t>债券代码</w:t>
            </w:r>
          </w:p>
        </w:tc>
        <w:tc>
          <w:tcPr>
            <w:tcW w:w="2410" w:type="dxa"/>
            <w:tcBorders>
              <w:top w:val="single" w:color="auto" w:sz="4" w:space="0"/>
              <w:left w:val="nil"/>
              <w:bottom w:val="single" w:color="auto" w:sz="4" w:space="0"/>
              <w:right w:val="single" w:color="auto" w:sz="4" w:space="0"/>
            </w:tcBorders>
            <w:vAlign w:val="center"/>
          </w:tcPr>
          <w:p w14:paraId="039955ED">
            <w:pPr>
              <w:jc w:val="center"/>
              <w:rPr>
                <w:color w:val="000000"/>
                <w:sz w:val="22"/>
              </w:rPr>
            </w:pPr>
          </w:p>
        </w:tc>
      </w:tr>
      <w:tr w14:paraId="2BCC69BD">
        <w:tblPrEx>
          <w:tblCellMar>
            <w:top w:w="0" w:type="dxa"/>
            <w:left w:w="108" w:type="dxa"/>
            <w:bottom w:w="0" w:type="dxa"/>
            <w:right w:w="108" w:type="dxa"/>
          </w:tblCellMar>
        </w:tblPrEx>
        <w:trPr>
          <w:trHeight w:val="792" w:hRule="atLeast"/>
        </w:trPr>
        <w:tc>
          <w:tcPr>
            <w:tcW w:w="2547" w:type="dxa"/>
            <w:tcBorders>
              <w:top w:val="nil"/>
              <w:left w:val="single" w:color="auto" w:sz="4" w:space="0"/>
              <w:bottom w:val="single" w:color="auto" w:sz="4" w:space="0"/>
              <w:right w:val="single" w:color="auto" w:sz="4" w:space="0"/>
            </w:tcBorders>
            <w:noWrap/>
            <w:vAlign w:val="center"/>
          </w:tcPr>
          <w:p w14:paraId="55C1073D">
            <w:pPr>
              <w:jc w:val="center"/>
              <w:rPr>
                <w:rFonts w:ascii="仿宋_GB2312" w:eastAsia="仿宋_GB2312"/>
                <w:sz w:val="30"/>
                <w:szCs w:val="30"/>
              </w:rPr>
            </w:pPr>
            <w:r>
              <w:rPr>
                <w:rFonts w:hint="eastAsia" w:ascii="仿宋_GB2312" w:eastAsia="仿宋_GB2312"/>
                <w:sz w:val="30"/>
                <w:szCs w:val="30"/>
              </w:rPr>
              <w:t>资金账户户名</w:t>
            </w:r>
          </w:p>
        </w:tc>
        <w:tc>
          <w:tcPr>
            <w:tcW w:w="2126" w:type="dxa"/>
            <w:tcBorders>
              <w:top w:val="single" w:color="auto" w:sz="4" w:space="0"/>
              <w:left w:val="nil"/>
              <w:bottom w:val="single" w:color="auto" w:sz="4" w:space="0"/>
              <w:right w:val="single" w:color="auto" w:sz="4" w:space="0"/>
            </w:tcBorders>
            <w:noWrap/>
            <w:vAlign w:val="center"/>
          </w:tcPr>
          <w:p w14:paraId="4560CC35">
            <w:pPr>
              <w:jc w:val="center"/>
              <w:rPr>
                <w:rFonts w:ascii="仿宋_GB2312" w:eastAsia="仿宋_GB2312"/>
                <w:sz w:val="30"/>
                <w:szCs w:val="30"/>
              </w:rPr>
            </w:pPr>
          </w:p>
        </w:tc>
        <w:tc>
          <w:tcPr>
            <w:tcW w:w="2126" w:type="dxa"/>
            <w:tcBorders>
              <w:top w:val="single" w:color="auto" w:sz="4" w:space="0"/>
              <w:left w:val="nil"/>
              <w:bottom w:val="single" w:color="auto" w:sz="4" w:space="0"/>
              <w:right w:val="single" w:color="auto" w:sz="4" w:space="0"/>
            </w:tcBorders>
            <w:vAlign w:val="center"/>
          </w:tcPr>
          <w:p w14:paraId="452FB833">
            <w:pPr>
              <w:jc w:val="center"/>
              <w:rPr>
                <w:rFonts w:ascii="仿宋_GB2312" w:eastAsia="仿宋_GB2312"/>
                <w:sz w:val="30"/>
                <w:szCs w:val="30"/>
              </w:rPr>
            </w:pPr>
            <w:r>
              <w:rPr>
                <w:rFonts w:hint="eastAsia" w:ascii="仿宋_GB2312" w:eastAsia="仿宋_GB2312"/>
                <w:sz w:val="30"/>
                <w:szCs w:val="30"/>
              </w:rPr>
              <w:t>资金开户行</w:t>
            </w:r>
          </w:p>
        </w:tc>
        <w:tc>
          <w:tcPr>
            <w:tcW w:w="2410" w:type="dxa"/>
            <w:tcBorders>
              <w:top w:val="single" w:color="auto" w:sz="4" w:space="0"/>
              <w:left w:val="nil"/>
              <w:bottom w:val="single" w:color="auto" w:sz="4" w:space="0"/>
              <w:right w:val="single" w:color="auto" w:sz="4" w:space="0"/>
            </w:tcBorders>
            <w:vAlign w:val="center"/>
          </w:tcPr>
          <w:p w14:paraId="5D701DC9">
            <w:pPr>
              <w:rPr>
                <w:rFonts w:ascii="仿宋_GB2312" w:eastAsia="仿宋_GB2312"/>
                <w:sz w:val="30"/>
                <w:szCs w:val="30"/>
              </w:rPr>
            </w:pPr>
          </w:p>
        </w:tc>
      </w:tr>
      <w:tr w14:paraId="59523772">
        <w:tblPrEx>
          <w:tblCellMar>
            <w:top w:w="0" w:type="dxa"/>
            <w:left w:w="108" w:type="dxa"/>
            <w:bottom w:w="0" w:type="dxa"/>
            <w:right w:w="108" w:type="dxa"/>
          </w:tblCellMar>
        </w:tblPrEx>
        <w:trPr>
          <w:trHeight w:val="270" w:hRule="atLeast"/>
        </w:trPr>
        <w:tc>
          <w:tcPr>
            <w:tcW w:w="2547" w:type="dxa"/>
            <w:tcBorders>
              <w:top w:val="nil"/>
              <w:left w:val="single" w:color="auto" w:sz="4" w:space="0"/>
              <w:bottom w:val="single" w:color="auto" w:sz="4" w:space="0"/>
              <w:right w:val="single" w:color="auto" w:sz="4" w:space="0"/>
            </w:tcBorders>
            <w:noWrap/>
            <w:vAlign w:val="center"/>
          </w:tcPr>
          <w:p w14:paraId="709BA4C7">
            <w:pPr>
              <w:jc w:val="center"/>
              <w:rPr>
                <w:rFonts w:ascii="仿宋_GB2312" w:eastAsia="仿宋_GB2312"/>
                <w:sz w:val="30"/>
                <w:szCs w:val="30"/>
              </w:rPr>
            </w:pPr>
            <w:r>
              <w:rPr>
                <w:rFonts w:hint="eastAsia" w:ascii="仿宋_GB2312" w:eastAsia="仿宋_GB2312"/>
                <w:sz w:val="30"/>
                <w:szCs w:val="30"/>
              </w:rPr>
              <w:t>资金账号</w:t>
            </w:r>
          </w:p>
        </w:tc>
        <w:tc>
          <w:tcPr>
            <w:tcW w:w="2126" w:type="dxa"/>
            <w:tcBorders>
              <w:top w:val="single" w:color="auto" w:sz="4" w:space="0"/>
              <w:left w:val="nil"/>
              <w:bottom w:val="single" w:color="auto" w:sz="4" w:space="0"/>
              <w:right w:val="single" w:color="auto" w:sz="4" w:space="0"/>
            </w:tcBorders>
            <w:noWrap/>
            <w:vAlign w:val="center"/>
          </w:tcPr>
          <w:p w14:paraId="25D3DB15">
            <w:pPr>
              <w:jc w:val="center"/>
              <w:rPr>
                <w:rFonts w:ascii="仿宋_GB2312" w:eastAsia="仿宋_GB2312"/>
                <w:sz w:val="30"/>
                <w:szCs w:val="30"/>
              </w:rPr>
            </w:pPr>
          </w:p>
        </w:tc>
        <w:tc>
          <w:tcPr>
            <w:tcW w:w="2126" w:type="dxa"/>
            <w:tcBorders>
              <w:top w:val="single" w:color="auto" w:sz="4" w:space="0"/>
              <w:left w:val="nil"/>
              <w:bottom w:val="single" w:color="auto" w:sz="4" w:space="0"/>
              <w:right w:val="single" w:color="auto" w:sz="4" w:space="0"/>
            </w:tcBorders>
            <w:vAlign w:val="center"/>
          </w:tcPr>
          <w:p w14:paraId="522E28F1">
            <w:pPr>
              <w:jc w:val="center"/>
              <w:rPr>
                <w:rFonts w:ascii="仿宋_GB2312" w:eastAsia="仿宋_GB2312"/>
                <w:sz w:val="30"/>
                <w:szCs w:val="30"/>
              </w:rPr>
            </w:pPr>
            <w:r>
              <w:rPr>
                <w:rFonts w:hint="eastAsia" w:ascii="仿宋_GB2312" w:eastAsia="仿宋_GB2312"/>
                <w:sz w:val="30"/>
                <w:szCs w:val="30"/>
              </w:rPr>
              <w:t>支付系统行号</w:t>
            </w:r>
          </w:p>
        </w:tc>
        <w:tc>
          <w:tcPr>
            <w:tcW w:w="2410" w:type="dxa"/>
            <w:tcBorders>
              <w:top w:val="single" w:color="auto" w:sz="4" w:space="0"/>
              <w:left w:val="nil"/>
              <w:bottom w:val="single" w:color="auto" w:sz="4" w:space="0"/>
              <w:right w:val="single" w:color="auto" w:sz="4" w:space="0"/>
            </w:tcBorders>
            <w:vAlign w:val="center"/>
          </w:tcPr>
          <w:p w14:paraId="1A56DAFB">
            <w:pPr>
              <w:jc w:val="center"/>
              <w:rPr>
                <w:rFonts w:ascii="仿宋_GB2312" w:eastAsia="仿宋_GB2312"/>
                <w:sz w:val="30"/>
                <w:szCs w:val="30"/>
              </w:rPr>
            </w:pPr>
          </w:p>
        </w:tc>
      </w:tr>
      <w:tr w14:paraId="34CB50BF">
        <w:tblPrEx>
          <w:tblCellMar>
            <w:top w:w="0" w:type="dxa"/>
            <w:left w:w="108" w:type="dxa"/>
            <w:bottom w:w="0" w:type="dxa"/>
            <w:right w:w="108" w:type="dxa"/>
          </w:tblCellMar>
        </w:tblPrEx>
        <w:trPr>
          <w:trHeight w:val="270" w:hRule="atLeast"/>
        </w:trPr>
        <w:tc>
          <w:tcPr>
            <w:tcW w:w="2547" w:type="dxa"/>
            <w:tcBorders>
              <w:top w:val="nil"/>
              <w:left w:val="single" w:color="auto" w:sz="4" w:space="0"/>
              <w:bottom w:val="single" w:color="auto" w:sz="4" w:space="0"/>
              <w:right w:val="single" w:color="auto" w:sz="4" w:space="0"/>
            </w:tcBorders>
            <w:noWrap/>
            <w:vAlign w:val="center"/>
          </w:tcPr>
          <w:p w14:paraId="6A9FD411">
            <w:pPr>
              <w:jc w:val="center"/>
              <w:rPr>
                <w:rFonts w:ascii="仿宋_GB2312" w:eastAsia="仿宋_GB2312"/>
                <w:sz w:val="30"/>
                <w:szCs w:val="30"/>
              </w:rPr>
            </w:pPr>
            <w:r>
              <w:rPr>
                <w:rFonts w:hint="eastAsia" w:ascii="仿宋_GB2312" w:eastAsia="仿宋_GB2312"/>
                <w:sz w:val="30"/>
                <w:szCs w:val="30"/>
              </w:rPr>
              <w:t>托管账号</w:t>
            </w:r>
          </w:p>
        </w:tc>
        <w:tc>
          <w:tcPr>
            <w:tcW w:w="6662" w:type="dxa"/>
            <w:gridSpan w:val="3"/>
            <w:tcBorders>
              <w:top w:val="single" w:color="auto" w:sz="4" w:space="0"/>
              <w:left w:val="nil"/>
              <w:bottom w:val="single" w:color="auto" w:sz="4" w:space="0"/>
              <w:right w:val="single" w:color="auto" w:sz="4" w:space="0"/>
            </w:tcBorders>
            <w:noWrap/>
            <w:vAlign w:val="center"/>
          </w:tcPr>
          <w:p w14:paraId="4F28BA69">
            <w:pPr>
              <w:jc w:val="center"/>
              <w:rPr>
                <w:color w:val="000000"/>
                <w:sz w:val="22"/>
              </w:rPr>
            </w:pPr>
          </w:p>
        </w:tc>
      </w:tr>
      <w:tr w14:paraId="580B2636">
        <w:tblPrEx>
          <w:tblCellMar>
            <w:top w:w="0" w:type="dxa"/>
            <w:left w:w="108" w:type="dxa"/>
            <w:bottom w:w="0" w:type="dxa"/>
            <w:right w:w="108" w:type="dxa"/>
          </w:tblCellMar>
        </w:tblPrEx>
        <w:trPr>
          <w:trHeight w:val="270" w:hRule="atLeast"/>
        </w:trPr>
        <w:tc>
          <w:tcPr>
            <w:tcW w:w="2547" w:type="dxa"/>
            <w:tcBorders>
              <w:top w:val="single" w:color="auto" w:sz="4" w:space="0"/>
              <w:left w:val="single" w:color="auto" w:sz="4" w:space="0"/>
              <w:bottom w:val="single" w:color="auto" w:sz="4" w:space="0"/>
              <w:right w:val="single" w:color="auto" w:sz="4" w:space="0"/>
            </w:tcBorders>
            <w:noWrap/>
            <w:vAlign w:val="center"/>
          </w:tcPr>
          <w:p w14:paraId="7D7DB4E8">
            <w:pPr>
              <w:jc w:val="center"/>
              <w:rPr>
                <w:rFonts w:ascii="仿宋_GB2312" w:eastAsia="仿宋_GB2312"/>
                <w:sz w:val="30"/>
                <w:szCs w:val="30"/>
              </w:rPr>
            </w:pPr>
            <w:r>
              <w:rPr>
                <w:rFonts w:hint="eastAsia" w:ascii="仿宋_GB2312" w:eastAsia="仿宋_GB2312"/>
                <w:sz w:val="30"/>
                <w:szCs w:val="30"/>
              </w:rPr>
              <w:t>竞标价格</w:t>
            </w:r>
          </w:p>
        </w:tc>
        <w:tc>
          <w:tcPr>
            <w:tcW w:w="6662" w:type="dxa"/>
            <w:gridSpan w:val="3"/>
            <w:tcBorders>
              <w:top w:val="single" w:color="auto" w:sz="4" w:space="0"/>
              <w:left w:val="nil"/>
              <w:bottom w:val="single" w:color="auto" w:sz="4" w:space="0"/>
              <w:right w:val="single" w:color="auto" w:sz="4" w:space="0"/>
            </w:tcBorders>
            <w:noWrap/>
            <w:vAlign w:val="center"/>
          </w:tcPr>
          <w:p w14:paraId="6594AE27">
            <w:pPr>
              <w:jc w:val="center"/>
              <w:rPr>
                <w:color w:val="000000"/>
                <w:sz w:val="22"/>
              </w:rPr>
            </w:pPr>
            <w:r>
              <w:rPr>
                <w:rFonts w:hint="eastAsia"/>
                <w:color w:val="000000"/>
                <w:sz w:val="22"/>
              </w:rPr>
              <w:t>　</w:t>
            </w:r>
          </w:p>
        </w:tc>
      </w:tr>
    </w:tbl>
    <w:p w14:paraId="231D598D">
      <w:pPr>
        <w:spacing w:line="360" w:lineRule="auto"/>
        <w:rPr>
          <w:rFonts w:ascii="仿宋_GB2312" w:eastAsia="仿宋_GB2312"/>
          <w:sz w:val="30"/>
          <w:szCs w:val="30"/>
        </w:rPr>
      </w:pPr>
      <w:r>
        <w:rPr>
          <w:rFonts w:hint="eastAsia" w:ascii="仿宋_GB2312" w:eastAsia="仿宋_GB2312"/>
          <w:sz w:val="30"/>
          <w:szCs w:val="30"/>
        </w:rPr>
        <w:t>备注：1、此委托单必须在自由报价期内提交至北金所；</w:t>
      </w:r>
    </w:p>
    <w:p w14:paraId="4999584C">
      <w:pPr>
        <w:spacing w:line="360" w:lineRule="auto"/>
        <w:ind w:firstLine="900" w:firstLineChars="300"/>
        <w:rPr>
          <w:rFonts w:ascii="仿宋_GB2312" w:eastAsia="仿宋_GB2312"/>
          <w:sz w:val="30"/>
          <w:szCs w:val="30"/>
        </w:rPr>
      </w:pPr>
      <w:r>
        <w:rPr>
          <w:rFonts w:hint="eastAsia" w:ascii="仿宋_GB2312" w:eastAsia="仿宋_GB2312"/>
          <w:sz w:val="30"/>
          <w:szCs w:val="30"/>
        </w:rPr>
        <w:t>2、本机构保证所报价格遵守加价规则。</w:t>
      </w:r>
    </w:p>
    <w:p w14:paraId="602C5968">
      <w:pPr>
        <w:wordWrap w:val="0"/>
        <w:jc w:val="right"/>
        <w:rPr>
          <w:rFonts w:ascii="仿宋_GB2312" w:eastAsia="仿宋_GB2312" w:cs="Times New Roman"/>
          <w:sz w:val="30"/>
          <w:szCs w:val="30"/>
        </w:rPr>
      </w:pPr>
      <w:r>
        <w:rPr>
          <w:rFonts w:hint="eastAsia" w:ascii="仿宋_GB2312" w:eastAsia="仿宋_GB2312" w:cs="Times New Roman"/>
          <w:sz w:val="30"/>
          <w:szCs w:val="30"/>
        </w:rPr>
        <w:t xml:space="preserve">申请人：             </w:t>
      </w:r>
    </w:p>
    <w:p w14:paraId="1CB3BD4B">
      <w:pPr>
        <w:jc w:val="right"/>
        <w:rPr>
          <w:rFonts w:ascii="仿宋_GB2312" w:eastAsia="仿宋_GB2312" w:cs="Times New Roman"/>
          <w:sz w:val="30"/>
          <w:szCs w:val="30"/>
        </w:rPr>
      </w:pPr>
      <w:r>
        <w:rPr>
          <w:rFonts w:hint="eastAsia" w:ascii="仿宋_GB2312" w:eastAsia="仿宋_GB2312" w:cs="Times New Roman"/>
          <w:sz w:val="30"/>
          <w:szCs w:val="30"/>
        </w:rPr>
        <w:t>（加盖申请人预留印鉴）</w:t>
      </w:r>
    </w:p>
    <w:p w14:paraId="4AD290E7">
      <w:pPr>
        <w:wordWrap w:val="0"/>
        <w:jc w:val="right"/>
        <w:rPr>
          <w:rFonts w:ascii="仿宋_GB2312" w:eastAsia="仿宋_GB2312" w:cs="Times New Roman"/>
          <w:sz w:val="30"/>
          <w:szCs w:val="30"/>
        </w:rPr>
      </w:pPr>
      <w:r>
        <w:rPr>
          <w:rFonts w:hint="eastAsia" w:ascii="仿宋_GB2312" w:eastAsia="仿宋_GB2312" w:cs="Times New Roman"/>
          <w:sz w:val="30"/>
          <w:szCs w:val="30"/>
        </w:rPr>
        <w:t xml:space="preserve">      申请日期：  年  月  日</w:t>
      </w:r>
    </w:p>
    <w:p w14:paraId="542682E1">
      <w:pPr>
        <w:spacing w:line="360" w:lineRule="auto"/>
        <w:jc w:val="right"/>
        <w:rPr>
          <w:rFonts w:ascii="仿宋_GB2312" w:eastAsia="仿宋_GB2312" w:cs="Times New Roman"/>
          <w:sz w:val="30"/>
          <w:szCs w:val="30"/>
        </w:rPr>
      </w:pPr>
      <w:r>
        <w:rPr>
          <w:rFonts w:hint="eastAsia" w:ascii="仿宋_GB2312" w:eastAsia="仿宋_GB2312" w:cs="Times New Roman"/>
          <w:sz w:val="30"/>
          <w:szCs w:val="30"/>
        </w:rPr>
        <w:t>申请编号</w:t>
      </w:r>
      <w:r>
        <w:rPr>
          <w:rFonts w:ascii="仿宋_GB2312" w:eastAsia="仿宋_GB2312" w:cs="Times New Roman"/>
          <w:sz w:val="30"/>
          <w:szCs w:val="30"/>
        </w:rPr>
        <w:t>：</w:t>
      </w:r>
      <w:r>
        <w:rPr>
          <w:rFonts w:hint="eastAsia" w:ascii="仿宋_GB2312" w:eastAsia="仿宋_GB2312" w:cs="Times New Roman"/>
          <w:sz w:val="30"/>
          <w:szCs w:val="30"/>
        </w:rPr>
        <w:t xml:space="preserve"> </w:t>
      </w:r>
      <w:r>
        <w:rPr>
          <w:rFonts w:ascii="仿宋_GB2312" w:eastAsia="仿宋_GB2312" w:cs="Times New Roman"/>
          <w:sz w:val="30"/>
          <w:szCs w:val="30"/>
        </w:rPr>
        <w:t xml:space="preserve">      </w:t>
      </w:r>
    </w:p>
    <w:p w14:paraId="48D163AC">
      <w:pPr>
        <w:spacing w:line="360" w:lineRule="auto"/>
        <w:rPr>
          <w:rFonts w:ascii="仿宋_GB2312" w:eastAsia="仿宋_GB2312" w:cs="Times New Roman"/>
          <w:sz w:val="30"/>
          <w:szCs w:val="30"/>
        </w:rPr>
      </w:pPr>
      <w:r>
        <w:rPr>
          <w:rFonts w:hint="eastAsia" w:ascii="仿宋_GB2312" w:eastAsia="仿宋_GB2312" w:cs="Times New Roman"/>
          <w:sz w:val="30"/>
          <w:szCs w:val="30"/>
        </w:rPr>
        <w:t>附件</w:t>
      </w:r>
      <w:r>
        <w:rPr>
          <w:rFonts w:ascii="仿宋_GB2312" w:eastAsia="仿宋_GB2312" w:cs="Times New Roman"/>
          <w:sz w:val="30"/>
          <w:szCs w:val="30"/>
        </w:rPr>
        <w:t>2</w:t>
      </w:r>
      <w:r>
        <w:rPr>
          <w:rFonts w:hint="eastAsia" w:ascii="仿宋_GB2312" w:eastAsia="仿宋_GB2312" w:cs="Times New Roman"/>
          <w:sz w:val="30"/>
          <w:szCs w:val="30"/>
        </w:rPr>
        <w:t>：</w:t>
      </w:r>
    </w:p>
    <w:p w14:paraId="386E01AA">
      <w:pPr>
        <w:spacing w:line="360" w:lineRule="auto"/>
        <w:jc w:val="center"/>
        <w:rPr>
          <w:b/>
          <w:bCs/>
          <w:color w:val="303030"/>
          <w:sz w:val="36"/>
          <w:szCs w:val="36"/>
        </w:rPr>
      </w:pPr>
      <w:r>
        <w:rPr>
          <w:rFonts w:hint="eastAsia"/>
          <w:b/>
          <w:bCs/>
          <w:color w:val="303030"/>
          <w:sz w:val="36"/>
          <w:szCs w:val="36"/>
        </w:rPr>
        <w:t>北京金融资产交易所</w:t>
      </w:r>
    </w:p>
    <w:p w14:paraId="6B283746">
      <w:pPr>
        <w:spacing w:line="360" w:lineRule="auto"/>
        <w:jc w:val="center"/>
        <w:rPr>
          <w:b/>
          <w:bCs/>
          <w:color w:val="303030"/>
          <w:sz w:val="36"/>
          <w:szCs w:val="36"/>
        </w:rPr>
        <w:sectPr>
          <w:headerReference r:id="rId6" w:type="first"/>
          <w:headerReference r:id="rId4" w:type="default"/>
          <w:headerReference r:id="rId5" w:type="even"/>
          <w:pgSz w:w="11906" w:h="16838"/>
          <w:pgMar w:top="1440" w:right="1800" w:bottom="1440" w:left="1800" w:header="851" w:footer="992" w:gutter="0"/>
          <w:cols w:space="425" w:num="1"/>
          <w:docGrid w:type="lines" w:linePitch="312" w:charSpace="0"/>
        </w:sectPr>
      </w:pPr>
      <w:r>
        <w:rPr>
          <w:rFonts w:hint="eastAsia"/>
          <w:b/>
          <w:bCs/>
          <w:color w:val="303030"/>
          <w:sz w:val="36"/>
          <w:szCs w:val="36"/>
        </w:rPr>
        <w:t>动态报价线下业务委托单</w:t>
      </w:r>
    </w:p>
    <w:tbl>
      <w:tblPr>
        <w:tblStyle w:val="8"/>
        <w:tblpPr w:leftFromText="180" w:rightFromText="180" w:vertAnchor="text" w:horzAnchor="margin" w:tblpY="932"/>
        <w:tblW w:w="9209" w:type="dxa"/>
        <w:tblInd w:w="0" w:type="dxa"/>
        <w:tblLayout w:type="autofit"/>
        <w:tblCellMar>
          <w:top w:w="0" w:type="dxa"/>
          <w:left w:w="108" w:type="dxa"/>
          <w:bottom w:w="0" w:type="dxa"/>
          <w:right w:w="108" w:type="dxa"/>
        </w:tblCellMar>
      </w:tblPr>
      <w:tblGrid>
        <w:gridCol w:w="2547"/>
        <w:gridCol w:w="2126"/>
        <w:gridCol w:w="2126"/>
        <w:gridCol w:w="2410"/>
      </w:tblGrid>
      <w:tr w14:paraId="1FFFA8FB">
        <w:tblPrEx>
          <w:tblCellMar>
            <w:top w:w="0" w:type="dxa"/>
            <w:left w:w="108" w:type="dxa"/>
            <w:bottom w:w="0" w:type="dxa"/>
            <w:right w:w="108" w:type="dxa"/>
          </w:tblCellMar>
        </w:tblPrEx>
        <w:trPr>
          <w:trHeight w:val="270" w:hRule="atLeast"/>
        </w:trPr>
        <w:tc>
          <w:tcPr>
            <w:tcW w:w="2547" w:type="dxa"/>
            <w:tcBorders>
              <w:top w:val="single" w:color="auto" w:sz="4" w:space="0"/>
              <w:left w:val="single" w:color="auto" w:sz="4" w:space="0"/>
              <w:bottom w:val="single" w:color="auto" w:sz="4" w:space="0"/>
              <w:right w:val="single" w:color="auto" w:sz="4" w:space="0"/>
            </w:tcBorders>
            <w:noWrap/>
            <w:vAlign w:val="center"/>
          </w:tcPr>
          <w:p w14:paraId="01094D01">
            <w:pPr>
              <w:jc w:val="center"/>
              <w:rPr>
                <w:color w:val="000000"/>
                <w:sz w:val="22"/>
              </w:rPr>
            </w:pPr>
            <w:r>
              <w:rPr>
                <w:rFonts w:hint="eastAsia" w:ascii="仿宋_GB2312" w:eastAsia="仿宋_GB2312"/>
                <w:sz w:val="30"/>
                <w:szCs w:val="30"/>
              </w:rPr>
              <w:t>意向受让方全称</w:t>
            </w:r>
            <w:r>
              <w:rPr>
                <w:rStyle w:val="11"/>
                <w:rFonts w:ascii="仿宋_GB2312" w:eastAsia="仿宋_GB2312"/>
                <w:sz w:val="30"/>
                <w:szCs w:val="30"/>
              </w:rPr>
              <w:footnoteReference w:id="2" w:customMarkFollows="1"/>
              <w:t>1</w:t>
            </w:r>
          </w:p>
        </w:tc>
        <w:tc>
          <w:tcPr>
            <w:tcW w:w="6662" w:type="dxa"/>
            <w:gridSpan w:val="3"/>
            <w:tcBorders>
              <w:top w:val="single" w:color="auto" w:sz="4" w:space="0"/>
              <w:left w:val="nil"/>
              <w:bottom w:val="single" w:color="auto" w:sz="4" w:space="0"/>
              <w:right w:val="single" w:color="auto" w:sz="4" w:space="0"/>
            </w:tcBorders>
            <w:noWrap/>
            <w:vAlign w:val="center"/>
          </w:tcPr>
          <w:p w14:paraId="11D55C89">
            <w:pPr>
              <w:jc w:val="center"/>
              <w:rPr>
                <w:color w:val="000000"/>
                <w:sz w:val="22"/>
              </w:rPr>
            </w:pPr>
            <w:r>
              <w:rPr>
                <w:rFonts w:hint="eastAsia"/>
                <w:color w:val="000000"/>
                <w:sz w:val="22"/>
              </w:rPr>
              <w:t>　</w:t>
            </w:r>
          </w:p>
        </w:tc>
      </w:tr>
      <w:tr w14:paraId="07C24411">
        <w:tblPrEx>
          <w:tblCellMar>
            <w:top w:w="0" w:type="dxa"/>
            <w:left w:w="108" w:type="dxa"/>
            <w:bottom w:w="0" w:type="dxa"/>
            <w:right w:w="108" w:type="dxa"/>
          </w:tblCellMar>
        </w:tblPrEx>
        <w:trPr>
          <w:trHeight w:val="270" w:hRule="atLeast"/>
        </w:trPr>
        <w:tc>
          <w:tcPr>
            <w:tcW w:w="2547" w:type="dxa"/>
            <w:tcBorders>
              <w:top w:val="single" w:color="auto" w:sz="4" w:space="0"/>
              <w:left w:val="single" w:color="auto" w:sz="4" w:space="0"/>
              <w:bottom w:val="single" w:color="auto" w:sz="4" w:space="0"/>
              <w:right w:val="single" w:color="auto" w:sz="4" w:space="0"/>
            </w:tcBorders>
            <w:noWrap/>
            <w:vAlign w:val="center"/>
          </w:tcPr>
          <w:p w14:paraId="070CD282">
            <w:pPr>
              <w:jc w:val="center"/>
              <w:rPr>
                <w:rFonts w:ascii="仿宋_GB2312" w:eastAsia="仿宋_GB2312"/>
                <w:sz w:val="30"/>
                <w:szCs w:val="30"/>
              </w:rPr>
            </w:pPr>
            <w:r>
              <w:rPr>
                <w:rFonts w:hint="eastAsia" w:ascii="仿宋_GB2312" w:eastAsia="仿宋_GB2312"/>
                <w:sz w:val="30"/>
                <w:szCs w:val="30"/>
              </w:rPr>
              <w:t>意向受让方简称</w:t>
            </w:r>
            <w:r>
              <w:rPr>
                <w:rStyle w:val="11"/>
                <w:rFonts w:ascii="仿宋_GB2312" w:eastAsia="仿宋_GB2312"/>
                <w:color w:val="000000"/>
              </w:rPr>
              <w:footnoteReference w:id="3" w:customMarkFollows="1"/>
              <w:t>1</w:t>
            </w:r>
          </w:p>
        </w:tc>
        <w:tc>
          <w:tcPr>
            <w:tcW w:w="6662" w:type="dxa"/>
            <w:gridSpan w:val="3"/>
            <w:tcBorders>
              <w:top w:val="single" w:color="auto" w:sz="4" w:space="0"/>
              <w:left w:val="nil"/>
              <w:bottom w:val="single" w:color="auto" w:sz="4" w:space="0"/>
              <w:right w:val="single" w:color="auto" w:sz="4" w:space="0"/>
            </w:tcBorders>
            <w:noWrap/>
            <w:vAlign w:val="center"/>
          </w:tcPr>
          <w:p w14:paraId="6009BFFB">
            <w:pPr>
              <w:jc w:val="center"/>
              <w:rPr>
                <w:color w:val="000000"/>
                <w:sz w:val="22"/>
              </w:rPr>
            </w:pPr>
          </w:p>
        </w:tc>
      </w:tr>
      <w:tr w14:paraId="49355AB7">
        <w:tblPrEx>
          <w:tblCellMar>
            <w:top w:w="0" w:type="dxa"/>
            <w:left w:w="108" w:type="dxa"/>
            <w:bottom w:w="0" w:type="dxa"/>
            <w:right w:w="108" w:type="dxa"/>
          </w:tblCellMar>
        </w:tblPrEx>
        <w:trPr>
          <w:trHeight w:val="270" w:hRule="atLeast"/>
        </w:trPr>
        <w:tc>
          <w:tcPr>
            <w:tcW w:w="2547" w:type="dxa"/>
            <w:tcBorders>
              <w:top w:val="nil"/>
              <w:left w:val="single" w:color="auto" w:sz="4" w:space="0"/>
              <w:bottom w:val="single" w:color="auto" w:sz="4" w:space="0"/>
              <w:right w:val="single" w:color="auto" w:sz="4" w:space="0"/>
            </w:tcBorders>
            <w:noWrap/>
            <w:vAlign w:val="center"/>
          </w:tcPr>
          <w:p w14:paraId="487F367D">
            <w:pPr>
              <w:jc w:val="center"/>
              <w:rPr>
                <w:color w:val="000000"/>
                <w:sz w:val="22"/>
              </w:rPr>
            </w:pPr>
            <w:r>
              <w:rPr>
                <w:rFonts w:hint="eastAsia" w:ascii="仿宋_GB2312" w:eastAsia="仿宋_GB2312"/>
                <w:sz w:val="30"/>
                <w:szCs w:val="30"/>
              </w:rPr>
              <w:t>联系人</w:t>
            </w:r>
          </w:p>
        </w:tc>
        <w:tc>
          <w:tcPr>
            <w:tcW w:w="2126" w:type="dxa"/>
            <w:tcBorders>
              <w:top w:val="nil"/>
              <w:left w:val="nil"/>
              <w:bottom w:val="single" w:color="auto" w:sz="4" w:space="0"/>
              <w:right w:val="single" w:color="auto" w:sz="4" w:space="0"/>
            </w:tcBorders>
            <w:noWrap/>
            <w:vAlign w:val="center"/>
          </w:tcPr>
          <w:p w14:paraId="15AFED35">
            <w:pPr>
              <w:jc w:val="center"/>
              <w:rPr>
                <w:color w:val="000000"/>
                <w:sz w:val="22"/>
              </w:rPr>
            </w:pPr>
            <w:r>
              <w:rPr>
                <w:rFonts w:hint="eastAsia"/>
                <w:color w:val="000000"/>
                <w:sz w:val="22"/>
              </w:rPr>
              <w:t>　</w:t>
            </w:r>
          </w:p>
        </w:tc>
        <w:tc>
          <w:tcPr>
            <w:tcW w:w="2126" w:type="dxa"/>
            <w:tcBorders>
              <w:top w:val="nil"/>
              <w:left w:val="nil"/>
              <w:bottom w:val="single" w:color="auto" w:sz="4" w:space="0"/>
              <w:right w:val="single" w:color="auto" w:sz="4" w:space="0"/>
            </w:tcBorders>
            <w:noWrap/>
            <w:vAlign w:val="center"/>
          </w:tcPr>
          <w:p w14:paraId="419FAB69">
            <w:pPr>
              <w:jc w:val="center"/>
              <w:rPr>
                <w:color w:val="000000"/>
                <w:sz w:val="22"/>
              </w:rPr>
            </w:pPr>
            <w:r>
              <w:rPr>
                <w:rFonts w:hint="eastAsia" w:ascii="仿宋_GB2312" w:eastAsia="仿宋_GB2312"/>
                <w:sz w:val="30"/>
                <w:szCs w:val="30"/>
              </w:rPr>
              <w:t>联系方式</w:t>
            </w:r>
          </w:p>
        </w:tc>
        <w:tc>
          <w:tcPr>
            <w:tcW w:w="2410" w:type="dxa"/>
            <w:tcBorders>
              <w:top w:val="nil"/>
              <w:left w:val="nil"/>
              <w:bottom w:val="single" w:color="auto" w:sz="4" w:space="0"/>
              <w:right w:val="single" w:color="auto" w:sz="4" w:space="0"/>
            </w:tcBorders>
            <w:noWrap/>
            <w:vAlign w:val="bottom"/>
          </w:tcPr>
          <w:p w14:paraId="00C588E2">
            <w:pPr>
              <w:rPr>
                <w:color w:val="000000"/>
                <w:sz w:val="22"/>
              </w:rPr>
            </w:pPr>
            <w:r>
              <w:rPr>
                <w:rFonts w:hint="eastAsia"/>
                <w:color w:val="000000"/>
                <w:sz w:val="22"/>
              </w:rPr>
              <w:t>　</w:t>
            </w:r>
          </w:p>
        </w:tc>
      </w:tr>
      <w:tr w14:paraId="6FFC880B">
        <w:tblPrEx>
          <w:tblCellMar>
            <w:top w:w="0" w:type="dxa"/>
            <w:left w:w="108" w:type="dxa"/>
            <w:bottom w:w="0" w:type="dxa"/>
            <w:right w:w="108" w:type="dxa"/>
          </w:tblCellMar>
        </w:tblPrEx>
        <w:trPr>
          <w:trHeight w:val="270" w:hRule="atLeast"/>
        </w:trPr>
        <w:tc>
          <w:tcPr>
            <w:tcW w:w="2547" w:type="dxa"/>
            <w:tcBorders>
              <w:top w:val="nil"/>
              <w:left w:val="single" w:color="auto" w:sz="4" w:space="0"/>
              <w:bottom w:val="single" w:color="auto" w:sz="4" w:space="0"/>
              <w:right w:val="single" w:color="auto" w:sz="4" w:space="0"/>
            </w:tcBorders>
            <w:noWrap/>
            <w:vAlign w:val="center"/>
          </w:tcPr>
          <w:p w14:paraId="0A21108C">
            <w:pPr>
              <w:jc w:val="center"/>
              <w:rPr>
                <w:color w:val="000000"/>
                <w:sz w:val="22"/>
              </w:rPr>
            </w:pPr>
            <w:r>
              <w:rPr>
                <w:rFonts w:hint="eastAsia" w:ascii="仿宋_GB2312" w:eastAsia="仿宋_GB2312"/>
                <w:sz w:val="30"/>
                <w:szCs w:val="30"/>
              </w:rPr>
              <w:t>项目编号</w:t>
            </w:r>
          </w:p>
        </w:tc>
        <w:tc>
          <w:tcPr>
            <w:tcW w:w="6662" w:type="dxa"/>
            <w:gridSpan w:val="3"/>
            <w:tcBorders>
              <w:top w:val="single" w:color="auto" w:sz="4" w:space="0"/>
              <w:left w:val="nil"/>
              <w:bottom w:val="single" w:color="auto" w:sz="4" w:space="0"/>
              <w:right w:val="single" w:color="auto" w:sz="4" w:space="0"/>
            </w:tcBorders>
            <w:noWrap/>
            <w:vAlign w:val="center"/>
          </w:tcPr>
          <w:p w14:paraId="3EA44854">
            <w:pPr>
              <w:jc w:val="center"/>
              <w:rPr>
                <w:color w:val="000000"/>
                <w:sz w:val="22"/>
              </w:rPr>
            </w:pPr>
            <w:r>
              <w:rPr>
                <w:rFonts w:hint="eastAsia"/>
                <w:color w:val="000000"/>
                <w:sz w:val="22"/>
              </w:rPr>
              <w:t>　</w:t>
            </w:r>
          </w:p>
        </w:tc>
      </w:tr>
      <w:tr w14:paraId="23B4906C">
        <w:tblPrEx>
          <w:tblCellMar>
            <w:top w:w="0" w:type="dxa"/>
            <w:left w:w="108" w:type="dxa"/>
            <w:bottom w:w="0" w:type="dxa"/>
            <w:right w:w="108" w:type="dxa"/>
          </w:tblCellMar>
        </w:tblPrEx>
        <w:trPr>
          <w:trHeight w:val="270" w:hRule="atLeast"/>
        </w:trPr>
        <w:tc>
          <w:tcPr>
            <w:tcW w:w="2547" w:type="dxa"/>
            <w:tcBorders>
              <w:top w:val="nil"/>
              <w:left w:val="single" w:color="auto" w:sz="4" w:space="0"/>
              <w:bottom w:val="single" w:color="auto" w:sz="4" w:space="0"/>
              <w:right w:val="single" w:color="auto" w:sz="4" w:space="0"/>
            </w:tcBorders>
            <w:noWrap/>
            <w:vAlign w:val="center"/>
          </w:tcPr>
          <w:p w14:paraId="57654637">
            <w:pPr>
              <w:jc w:val="center"/>
              <w:rPr>
                <w:color w:val="000000"/>
                <w:sz w:val="22"/>
              </w:rPr>
            </w:pPr>
            <w:r>
              <w:rPr>
                <w:rFonts w:hint="eastAsia" w:ascii="仿宋_GB2312" w:eastAsia="仿宋_GB2312"/>
                <w:sz w:val="30"/>
                <w:szCs w:val="30"/>
              </w:rPr>
              <w:t>标的债券全称</w:t>
            </w:r>
          </w:p>
        </w:tc>
        <w:tc>
          <w:tcPr>
            <w:tcW w:w="6662" w:type="dxa"/>
            <w:gridSpan w:val="3"/>
            <w:tcBorders>
              <w:top w:val="single" w:color="auto" w:sz="4" w:space="0"/>
              <w:left w:val="nil"/>
              <w:bottom w:val="single" w:color="auto" w:sz="4" w:space="0"/>
              <w:right w:val="single" w:color="auto" w:sz="4" w:space="0"/>
            </w:tcBorders>
            <w:noWrap/>
            <w:vAlign w:val="center"/>
          </w:tcPr>
          <w:p w14:paraId="3E96F1E1">
            <w:pPr>
              <w:jc w:val="center"/>
              <w:rPr>
                <w:color w:val="000000"/>
                <w:sz w:val="22"/>
              </w:rPr>
            </w:pPr>
            <w:r>
              <w:rPr>
                <w:rFonts w:hint="eastAsia"/>
                <w:color w:val="000000"/>
                <w:sz w:val="22"/>
              </w:rPr>
              <w:t>　</w:t>
            </w:r>
          </w:p>
        </w:tc>
      </w:tr>
      <w:tr w14:paraId="4B625A7E">
        <w:tblPrEx>
          <w:tblCellMar>
            <w:top w:w="0" w:type="dxa"/>
            <w:left w:w="108" w:type="dxa"/>
            <w:bottom w:w="0" w:type="dxa"/>
            <w:right w:w="108" w:type="dxa"/>
          </w:tblCellMar>
        </w:tblPrEx>
        <w:trPr>
          <w:trHeight w:val="270" w:hRule="atLeast"/>
        </w:trPr>
        <w:tc>
          <w:tcPr>
            <w:tcW w:w="2547" w:type="dxa"/>
            <w:tcBorders>
              <w:top w:val="nil"/>
              <w:left w:val="single" w:color="auto" w:sz="4" w:space="0"/>
              <w:bottom w:val="single" w:color="auto" w:sz="4" w:space="0"/>
              <w:right w:val="single" w:color="auto" w:sz="4" w:space="0"/>
            </w:tcBorders>
            <w:noWrap/>
            <w:vAlign w:val="center"/>
          </w:tcPr>
          <w:p w14:paraId="3C409B42">
            <w:pPr>
              <w:jc w:val="center"/>
              <w:rPr>
                <w:rFonts w:ascii="仿宋_GB2312" w:eastAsia="仿宋_GB2312"/>
                <w:sz w:val="30"/>
                <w:szCs w:val="30"/>
              </w:rPr>
            </w:pPr>
            <w:r>
              <w:rPr>
                <w:rFonts w:hint="eastAsia" w:ascii="仿宋_GB2312" w:eastAsia="仿宋_GB2312"/>
                <w:sz w:val="30"/>
                <w:szCs w:val="30"/>
              </w:rPr>
              <w:t>债券简称</w:t>
            </w:r>
          </w:p>
        </w:tc>
        <w:tc>
          <w:tcPr>
            <w:tcW w:w="2126" w:type="dxa"/>
            <w:tcBorders>
              <w:top w:val="single" w:color="auto" w:sz="4" w:space="0"/>
              <w:left w:val="nil"/>
              <w:bottom w:val="single" w:color="auto" w:sz="4" w:space="0"/>
              <w:right w:val="single" w:color="auto" w:sz="4" w:space="0"/>
            </w:tcBorders>
            <w:noWrap/>
            <w:vAlign w:val="center"/>
          </w:tcPr>
          <w:p w14:paraId="7C9DDFE3">
            <w:pPr>
              <w:jc w:val="center"/>
              <w:rPr>
                <w:color w:val="000000"/>
                <w:sz w:val="22"/>
              </w:rPr>
            </w:pPr>
          </w:p>
        </w:tc>
        <w:tc>
          <w:tcPr>
            <w:tcW w:w="2126" w:type="dxa"/>
            <w:tcBorders>
              <w:top w:val="single" w:color="auto" w:sz="4" w:space="0"/>
              <w:left w:val="nil"/>
              <w:bottom w:val="single" w:color="auto" w:sz="4" w:space="0"/>
              <w:right w:val="single" w:color="auto" w:sz="4" w:space="0"/>
            </w:tcBorders>
            <w:vAlign w:val="center"/>
          </w:tcPr>
          <w:p w14:paraId="628C92EA">
            <w:pPr>
              <w:jc w:val="center"/>
              <w:rPr>
                <w:color w:val="000000"/>
                <w:sz w:val="22"/>
              </w:rPr>
            </w:pPr>
            <w:r>
              <w:rPr>
                <w:rFonts w:hint="eastAsia" w:ascii="仿宋_GB2312" w:eastAsia="仿宋_GB2312"/>
                <w:sz w:val="30"/>
                <w:szCs w:val="30"/>
              </w:rPr>
              <w:t>债券代码</w:t>
            </w:r>
          </w:p>
        </w:tc>
        <w:tc>
          <w:tcPr>
            <w:tcW w:w="2410" w:type="dxa"/>
            <w:tcBorders>
              <w:top w:val="single" w:color="auto" w:sz="4" w:space="0"/>
              <w:left w:val="nil"/>
              <w:bottom w:val="single" w:color="auto" w:sz="4" w:space="0"/>
              <w:right w:val="single" w:color="auto" w:sz="4" w:space="0"/>
            </w:tcBorders>
            <w:vAlign w:val="center"/>
          </w:tcPr>
          <w:p w14:paraId="170D60C1">
            <w:pPr>
              <w:jc w:val="center"/>
              <w:rPr>
                <w:color w:val="000000"/>
                <w:sz w:val="22"/>
              </w:rPr>
            </w:pPr>
          </w:p>
        </w:tc>
      </w:tr>
      <w:tr w14:paraId="1634BD13">
        <w:tblPrEx>
          <w:tblCellMar>
            <w:top w:w="0" w:type="dxa"/>
            <w:left w:w="108" w:type="dxa"/>
            <w:bottom w:w="0" w:type="dxa"/>
            <w:right w:w="108" w:type="dxa"/>
          </w:tblCellMar>
        </w:tblPrEx>
        <w:trPr>
          <w:trHeight w:val="270" w:hRule="atLeast"/>
        </w:trPr>
        <w:tc>
          <w:tcPr>
            <w:tcW w:w="2547" w:type="dxa"/>
            <w:tcBorders>
              <w:top w:val="nil"/>
              <w:left w:val="single" w:color="auto" w:sz="4" w:space="0"/>
              <w:bottom w:val="single" w:color="auto" w:sz="4" w:space="0"/>
              <w:right w:val="single" w:color="auto" w:sz="4" w:space="0"/>
            </w:tcBorders>
            <w:noWrap/>
            <w:vAlign w:val="center"/>
          </w:tcPr>
          <w:p w14:paraId="716E3477">
            <w:pPr>
              <w:jc w:val="center"/>
              <w:rPr>
                <w:rFonts w:ascii="仿宋_GB2312" w:eastAsia="仿宋_GB2312"/>
                <w:sz w:val="30"/>
                <w:szCs w:val="30"/>
              </w:rPr>
            </w:pPr>
            <w:r>
              <w:rPr>
                <w:rFonts w:hint="eastAsia" w:ascii="仿宋_GB2312" w:eastAsia="仿宋_GB2312"/>
                <w:sz w:val="30"/>
                <w:szCs w:val="30"/>
              </w:rPr>
              <w:t>资金账户户名</w:t>
            </w:r>
          </w:p>
        </w:tc>
        <w:tc>
          <w:tcPr>
            <w:tcW w:w="2126" w:type="dxa"/>
            <w:tcBorders>
              <w:top w:val="single" w:color="auto" w:sz="4" w:space="0"/>
              <w:left w:val="nil"/>
              <w:bottom w:val="single" w:color="auto" w:sz="4" w:space="0"/>
              <w:right w:val="single" w:color="auto" w:sz="4" w:space="0"/>
            </w:tcBorders>
            <w:noWrap/>
            <w:vAlign w:val="center"/>
          </w:tcPr>
          <w:p w14:paraId="5AF868CD">
            <w:pPr>
              <w:jc w:val="center"/>
              <w:rPr>
                <w:rFonts w:ascii="仿宋_GB2312" w:eastAsia="仿宋_GB2312"/>
                <w:sz w:val="30"/>
                <w:szCs w:val="30"/>
              </w:rPr>
            </w:pPr>
          </w:p>
        </w:tc>
        <w:tc>
          <w:tcPr>
            <w:tcW w:w="2126" w:type="dxa"/>
            <w:tcBorders>
              <w:top w:val="single" w:color="auto" w:sz="4" w:space="0"/>
              <w:left w:val="nil"/>
              <w:bottom w:val="single" w:color="auto" w:sz="4" w:space="0"/>
              <w:right w:val="single" w:color="auto" w:sz="4" w:space="0"/>
            </w:tcBorders>
            <w:vAlign w:val="center"/>
          </w:tcPr>
          <w:p w14:paraId="6918FB25">
            <w:pPr>
              <w:jc w:val="center"/>
              <w:rPr>
                <w:rFonts w:ascii="仿宋_GB2312" w:eastAsia="仿宋_GB2312"/>
                <w:sz w:val="30"/>
                <w:szCs w:val="30"/>
              </w:rPr>
            </w:pPr>
            <w:r>
              <w:rPr>
                <w:rFonts w:hint="eastAsia" w:ascii="仿宋_GB2312" w:eastAsia="仿宋_GB2312"/>
                <w:sz w:val="30"/>
                <w:szCs w:val="30"/>
              </w:rPr>
              <w:t>资金开户行</w:t>
            </w:r>
          </w:p>
        </w:tc>
        <w:tc>
          <w:tcPr>
            <w:tcW w:w="2410" w:type="dxa"/>
            <w:tcBorders>
              <w:top w:val="single" w:color="auto" w:sz="4" w:space="0"/>
              <w:left w:val="nil"/>
              <w:bottom w:val="single" w:color="auto" w:sz="4" w:space="0"/>
              <w:right w:val="single" w:color="auto" w:sz="4" w:space="0"/>
            </w:tcBorders>
            <w:vAlign w:val="center"/>
          </w:tcPr>
          <w:p w14:paraId="1B6CDD11">
            <w:pPr>
              <w:jc w:val="center"/>
              <w:rPr>
                <w:color w:val="000000"/>
                <w:sz w:val="22"/>
              </w:rPr>
            </w:pPr>
          </w:p>
        </w:tc>
      </w:tr>
      <w:tr w14:paraId="68C84B48">
        <w:tblPrEx>
          <w:tblCellMar>
            <w:top w:w="0" w:type="dxa"/>
            <w:left w:w="108" w:type="dxa"/>
            <w:bottom w:w="0" w:type="dxa"/>
            <w:right w:w="108" w:type="dxa"/>
          </w:tblCellMar>
        </w:tblPrEx>
        <w:trPr>
          <w:trHeight w:val="270" w:hRule="atLeast"/>
        </w:trPr>
        <w:tc>
          <w:tcPr>
            <w:tcW w:w="2547" w:type="dxa"/>
            <w:tcBorders>
              <w:top w:val="nil"/>
              <w:left w:val="single" w:color="auto" w:sz="4" w:space="0"/>
              <w:bottom w:val="single" w:color="auto" w:sz="4" w:space="0"/>
              <w:right w:val="single" w:color="auto" w:sz="4" w:space="0"/>
            </w:tcBorders>
            <w:noWrap/>
            <w:vAlign w:val="center"/>
          </w:tcPr>
          <w:p w14:paraId="2706E23C">
            <w:pPr>
              <w:jc w:val="center"/>
              <w:rPr>
                <w:rFonts w:ascii="仿宋_GB2312" w:eastAsia="仿宋_GB2312"/>
                <w:sz w:val="30"/>
                <w:szCs w:val="30"/>
              </w:rPr>
            </w:pPr>
            <w:r>
              <w:rPr>
                <w:rFonts w:hint="eastAsia" w:ascii="仿宋_GB2312" w:eastAsia="仿宋_GB2312"/>
                <w:sz w:val="30"/>
                <w:szCs w:val="30"/>
              </w:rPr>
              <w:t>资金账号</w:t>
            </w:r>
          </w:p>
        </w:tc>
        <w:tc>
          <w:tcPr>
            <w:tcW w:w="2126" w:type="dxa"/>
            <w:tcBorders>
              <w:top w:val="single" w:color="auto" w:sz="4" w:space="0"/>
              <w:left w:val="nil"/>
              <w:bottom w:val="single" w:color="auto" w:sz="4" w:space="0"/>
              <w:right w:val="single" w:color="auto" w:sz="4" w:space="0"/>
            </w:tcBorders>
            <w:noWrap/>
            <w:vAlign w:val="center"/>
          </w:tcPr>
          <w:p w14:paraId="780401F6">
            <w:pPr>
              <w:jc w:val="center"/>
              <w:rPr>
                <w:rFonts w:ascii="仿宋_GB2312" w:eastAsia="仿宋_GB2312"/>
                <w:sz w:val="30"/>
                <w:szCs w:val="30"/>
              </w:rPr>
            </w:pPr>
          </w:p>
        </w:tc>
        <w:tc>
          <w:tcPr>
            <w:tcW w:w="2126" w:type="dxa"/>
            <w:tcBorders>
              <w:top w:val="single" w:color="auto" w:sz="4" w:space="0"/>
              <w:left w:val="nil"/>
              <w:bottom w:val="single" w:color="auto" w:sz="4" w:space="0"/>
              <w:right w:val="single" w:color="auto" w:sz="4" w:space="0"/>
            </w:tcBorders>
            <w:vAlign w:val="center"/>
          </w:tcPr>
          <w:p w14:paraId="2925300A">
            <w:pPr>
              <w:jc w:val="center"/>
              <w:rPr>
                <w:rFonts w:ascii="仿宋_GB2312" w:eastAsia="仿宋_GB2312"/>
                <w:sz w:val="30"/>
                <w:szCs w:val="30"/>
              </w:rPr>
            </w:pPr>
            <w:r>
              <w:rPr>
                <w:rFonts w:hint="eastAsia" w:ascii="仿宋_GB2312" w:eastAsia="仿宋_GB2312"/>
                <w:sz w:val="30"/>
                <w:szCs w:val="30"/>
              </w:rPr>
              <w:t>支付系统行号</w:t>
            </w:r>
          </w:p>
        </w:tc>
        <w:tc>
          <w:tcPr>
            <w:tcW w:w="2410" w:type="dxa"/>
            <w:tcBorders>
              <w:top w:val="single" w:color="auto" w:sz="4" w:space="0"/>
              <w:left w:val="nil"/>
              <w:bottom w:val="single" w:color="auto" w:sz="4" w:space="0"/>
              <w:right w:val="single" w:color="auto" w:sz="4" w:space="0"/>
            </w:tcBorders>
            <w:vAlign w:val="center"/>
          </w:tcPr>
          <w:p w14:paraId="356B9930">
            <w:pPr>
              <w:jc w:val="center"/>
              <w:rPr>
                <w:color w:val="000000"/>
                <w:sz w:val="22"/>
              </w:rPr>
            </w:pPr>
          </w:p>
        </w:tc>
      </w:tr>
      <w:tr w14:paraId="32209DBE">
        <w:tblPrEx>
          <w:tblCellMar>
            <w:top w:w="0" w:type="dxa"/>
            <w:left w:w="108" w:type="dxa"/>
            <w:bottom w:w="0" w:type="dxa"/>
            <w:right w:w="108" w:type="dxa"/>
          </w:tblCellMar>
        </w:tblPrEx>
        <w:trPr>
          <w:trHeight w:val="270" w:hRule="atLeast"/>
        </w:trPr>
        <w:tc>
          <w:tcPr>
            <w:tcW w:w="2547" w:type="dxa"/>
            <w:tcBorders>
              <w:top w:val="nil"/>
              <w:left w:val="single" w:color="auto" w:sz="4" w:space="0"/>
              <w:bottom w:val="single" w:color="auto" w:sz="4" w:space="0"/>
              <w:right w:val="single" w:color="auto" w:sz="4" w:space="0"/>
            </w:tcBorders>
            <w:noWrap/>
            <w:vAlign w:val="center"/>
          </w:tcPr>
          <w:p w14:paraId="5AE2A18A">
            <w:pPr>
              <w:jc w:val="center"/>
              <w:rPr>
                <w:rFonts w:ascii="仿宋_GB2312" w:eastAsia="仿宋_GB2312"/>
                <w:sz w:val="30"/>
                <w:szCs w:val="30"/>
              </w:rPr>
            </w:pPr>
            <w:r>
              <w:rPr>
                <w:rFonts w:hint="eastAsia" w:ascii="仿宋_GB2312" w:eastAsia="仿宋_GB2312"/>
                <w:sz w:val="30"/>
                <w:szCs w:val="30"/>
              </w:rPr>
              <w:t>托管账号</w:t>
            </w:r>
          </w:p>
        </w:tc>
        <w:tc>
          <w:tcPr>
            <w:tcW w:w="6662" w:type="dxa"/>
            <w:gridSpan w:val="3"/>
            <w:tcBorders>
              <w:top w:val="single" w:color="auto" w:sz="4" w:space="0"/>
              <w:left w:val="nil"/>
              <w:bottom w:val="single" w:color="auto" w:sz="4" w:space="0"/>
              <w:right w:val="single" w:color="auto" w:sz="4" w:space="0"/>
            </w:tcBorders>
            <w:noWrap/>
            <w:vAlign w:val="center"/>
          </w:tcPr>
          <w:p w14:paraId="32DCEF4B">
            <w:pPr>
              <w:jc w:val="center"/>
              <w:rPr>
                <w:color w:val="000000"/>
                <w:sz w:val="22"/>
              </w:rPr>
            </w:pPr>
          </w:p>
        </w:tc>
      </w:tr>
      <w:tr w14:paraId="670858A0">
        <w:tblPrEx>
          <w:tblCellMar>
            <w:top w:w="0" w:type="dxa"/>
            <w:left w:w="108" w:type="dxa"/>
            <w:bottom w:w="0" w:type="dxa"/>
            <w:right w:w="108" w:type="dxa"/>
          </w:tblCellMar>
        </w:tblPrEx>
        <w:trPr>
          <w:trHeight w:val="270" w:hRule="atLeast"/>
        </w:trPr>
        <w:tc>
          <w:tcPr>
            <w:tcW w:w="2547" w:type="dxa"/>
            <w:tcBorders>
              <w:top w:val="nil"/>
              <w:left w:val="single" w:color="auto" w:sz="4" w:space="0"/>
              <w:bottom w:val="single" w:color="auto" w:sz="4" w:space="0"/>
              <w:right w:val="single" w:color="auto" w:sz="4" w:space="0"/>
            </w:tcBorders>
            <w:noWrap/>
            <w:vAlign w:val="center"/>
          </w:tcPr>
          <w:p w14:paraId="17AC859D">
            <w:pPr>
              <w:jc w:val="center"/>
              <w:rPr>
                <w:rFonts w:ascii="仿宋_GB2312" w:eastAsia="仿宋_GB2312"/>
                <w:sz w:val="30"/>
                <w:szCs w:val="30"/>
              </w:rPr>
            </w:pPr>
            <w:r>
              <w:rPr>
                <w:rFonts w:hint="eastAsia" w:ascii="仿宋_GB2312" w:eastAsia="仿宋_GB2312"/>
                <w:sz w:val="30"/>
                <w:szCs w:val="30"/>
              </w:rPr>
              <w:t>竞标价格</w:t>
            </w:r>
          </w:p>
        </w:tc>
        <w:tc>
          <w:tcPr>
            <w:tcW w:w="6662" w:type="dxa"/>
            <w:gridSpan w:val="3"/>
            <w:tcBorders>
              <w:top w:val="single" w:color="auto" w:sz="4" w:space="0"/>
              <w:left w:val="nil"/>
              <w:bottom w:val="single" w:color="auto" w:sz="4" w:space="0"/>
              <w:right w:val="single" w:color="auto" w:sz="4" w:space="0"/>
            </w:tcBorders>
            <w:noWrap/>
            <w:vAlign w:val="center"/>
          </w:tcPr>
          <w:p w14:paraId="611050DD">
            <w:pPr>
              <w:jc w:val="center"/>
              <w:rPr>
                <w:color w:val="000000"/>
                <w:sz w:val="22"/>
              </w:rPr>
            </w:pPr>
            <w:r>
              <w:rPr>
                <w:rFonts w:hint="eastAsia"/>
                <w:color w:val="000000"/>
                <w:sz w:val="22"/>
              </w:rPr>
              <w:t>　</w:t>
            </w:r>
          </w:p>
        </w:tc>
      </w:tr>
    </w:tbl>
    <w:p w14:paraId="213C1CF4">
      <w:pPr>
        <w:tabs>
          <w:tab w:val="center" w:pos="4153"/>
          <w:tab w:val="left" w:pos="5550"/>
        </w:tabs>
        <w:jc w:val="center"/>
        <w:rPr>
          <w:rFonts w:ascii="仿宋_GB2312" w:eastAsia="仿宋_GB2312"/>
          <w:sz w:val="30"/>
          <w:szCs w:val="30"/>
        </w:rPr>
        <w:sectPr>
          <w:headerReference r:id="rId9" w:type="first"/>
          <w:headerReference r:id="rId7" w:type="default"/>
          <w:headerReference r:id="rId8" w:type="even"/>
          <w:type w:val="continuous"/>
          <w:pgSz w:w="11906" w:h="16838"/>
          <w:pgMar w:top="1440" w:right="1800" w:bottom="1440" w:left="1800" w:header="851" w:footer="992" w:gutter="0"/>
          <w:cols w:space="425" w:num="1"/>
          <w:docGrid w:type="lines" w:linePitch="312" w:charSpace="0"/>
        </w:sectPr>
      </w:pPr>
      <w:r>
        <w:rPr>
          <w:rFonts w:hint="eastAsia"/>
          <w:b/>
          <w:bCs/>
          <w:color w:val="303030"/>
          <w:sz w:val="36"/>
          <w:szCs w:val="36"/>
        </w:rPr>
        <w:t>（限时报价期意向受让方填写）</w:t>
      </w:r>
    </w:p>
    <w:p w14:paraId="4C7E1867">
      <w:pPr>
        <w:spacing w:line="360" w:lineRule="auto"/>
        <w:rPr>
          <w:b/>
          <w:bCs/>
          <w:color w:val="303030"/>
          <w:sz w:val="36"/>
          <w:szCs w:val="36"/>
        </w:rPr>
        <w:sectPr>
          <w:headerReference r:id="rId12" w:type="first"/>
          <w:headerReference r:id="rId10" w:type="default"/>
          <w:headerReference r:id="rId11" w:type="even"/>
          <w:footnotePr>
            <w:numRestart w:val="eachPage"/>
          </w:footnotePr>
          <w:type w:val="continuous"/>
          <w:pgSz w:w="11906" w:h="16838"/>
          <w:pgMar w:top="1440" w:right="1800" w:bottom="1440" w:left="1800" w:header="851" w:footer="992" w:gutter="0"/>
          <w:cols w:space="425" w:num="1"/>
          <w:docGrid w:type="lines" w:linePitch="312" w:charSpace="0"/>
        </w:sectPr>
      </w:pPr>
    </w:p>
    <w:p w14:paraId="1C4AE151">
      <w:pPr>
        <w:spacing w:line="360" w:lineRule="auto"/>
        <w:rPr>
          <w:rFonts w:ascii="仿宋_GB2312" w:eastAsia="仿宋_GB2312"/>
          <w:sz w:val="30"/>
          <w:szCs w:val="30"/>
        </w:rPr>
      </w:pPr>
      <w:r>
        <w:rPr>
          <w:rFonts w:hint="eastAsia" w:ascii="仿宋_GB2312" w:eastAsia="仿宋_GB2312"/>
          <w:sz w:val="30"/>
          <w:szCs w:val="30"/>
        </w:rPr>
        <w:t>备注：1、此委托单必须在限时报价期内提交至北金所；</w:t>
      </w:r>
    </w:p>
    <w:p w14:paraId="0A24AD2F">
      <w:pPr>
        <w:spacing w:line="360" w:lineRule="auto"/>
        <w:ind w:firstLine="900" w:firstLineChars="300"/>
        <w:rPr>
          <w:rFonts w:ascii="仿宋_GB2312" w:eastAsia="仿宋_GB2312"/>
          <w:sz w:val="30"/>
          <w:szCs w:val="30"/>
        </w:rPr>
      </w:pPr>
      <w:r>
        <w:rPr>
          <w:rFonts w:hint="eastAsia" w:ascii="仿宋_GB2312" w:eastAsia="仿宋_GB2312"/>
          <w:sz w:val="30"/>
          <w:szCs w:val="30"/>
        </w:rPr>
        <w:t>2、本机构保证所报价格遵守加价规则。</w:t>
      </w:r>
    </w:p>
    <w:p w14:paraId="2B9FA8D1">
      <w:pPr>
        <w:wordWrap w:val="0"/>
        <w:jc w:val="right"/>
        <w:rPr>
          <w:rFonts w:ascii="仿宋_GB2312" w:eastAsia="仿宋_GB2312" w:cs="Times New Roman"/>
          <w:sz w:val="30"/>
          <w:szCs w:val="30"/>
        </w:rPr>
      </w:pPr>
      <w:r>
        <w:rPr>
          <w:rFonts w:hint="eastAsia" w:ascii="仿宋_GB2312" w:eastAsia="仿宋_GB2312" w:cs="Times New Roman"/>
          <w:sz w:val="30"/>
          <w:szCs w:val="30"/>
        </w:rPr>
        <w:t xml:space="preserve">申请人：             </w:t>
      </w:r>
    </w:p>
    <w:p w14:paraId="28E37321">
      <w:pPr>
        <w:jc w:val="right"/>
        <w:rPr>
          <w:rFonts w:ascii="仿宋_GB2312" w:eastAsia="仿宋_GB2312" w:cs="Times New Roman"/>
          <w:sz w:val="30"/>
          <w:szCs w:val="30"/>
        </w:rPr>
      </w:pPr>
      <w:r>
        <w:rPr>
          <w:rFonts w:hint="eastAsia" w:ascii="仿宋_GB2312" w:eastAsia="仿宋_GB2312" w:cs="Times New Roman"/>
          <w:sz w:val="30"/>
          <w:szCs w:val="30"/>
        </w:rPr>
        <w:t>（加盖申请人预留印鉴）</w:t>
      </w:r>
    </w:p>
    <w:p w14:paraId="2467281E">
      <w:pPr>
        <w:spacing w:line="360" w:lineRule="auto"/>
        <w:ind w:firstLine="900" w:firstLineChars="300"/>
        <w:jc w:val="right"/>
        <w:rPr>
          <w:rFonts w:ascii="仿宋_GB2312" w:eastAsia="仿宋_GB2312"/>
          <w:sz w:val="30"/>
          <w:szCs w:val="30"/>
        </w:rPr>
      </w:pPr>
      <w:r>
        <w:rPr>
          <w:rFonts w:hint="eastAsia" w:ascii="仿宋_GB2312" w:eastAsia="仿宋_GB2312" w:cs="Times New Roman"/>
          <w:sz w:val="30"/>
          <w:szCs w:val="30"/>
        </w:rPr>
        <w:t>申请日期：  年  月 日</w:t>
      </w:r>
    </w:p>
    <w:p w14:paraId="6591781F">
      <w:pPr>
        <w:rPr>
          <w:rFonts w:ascii="仿宋_GB2312" w:eastAsia="仿宋_GB2312"/>
          <w:sz w:val="30"/>
          <w:szCs w:val="30"/>
        </w:rPr>
        <w:sectPr>
          <w:headerReference r:id="rId15" w:type="first"/>
          <w:headerReference r:id="rId13" w:type="default"/>
          <w:headerReference r:id="rId14" w:type="even"/>
          <w:type w:val="continuous"/>
          <w:pgSz w:w="11906" w:h="16838"/>
          <w:pgMar w:top="1440" w:right="1800" w:bottom="1440" w:left="1800" w:header="851" w:footer="992" w:gutter="0"/>
          <w:cols w:space="425" w:num="1"/>
          <w:docGrid w:type="lines" w:linePitch="312" w:charSpace="0"/>
        </w:sectPr>
      </w:pPr>
    </w:p>
    <w:p w14:paraId="690B22A8">
      <w:pPr>
        <w:rPr>
          <w:rFonts w:ascii="仿宋_GB2312" w:eastAsia="仿宋_GB2312" w:cs="Times New Roman"/>
          <w:sz w:val="30"/>
          <w:szCs w:val="30"/>
        </w:rPr>
      </w:pPr>
      <w:r>
        <w:rPr>
          <w:rFonts w:hint="eastAsia" w:ascii="仿宋_GB2312" w:eastAsia="仿宋_GB2312" w:cs="Times New Roman"/>
          <w:sz w:val="30"/>
          <w:szCs w:val="30"/>
        </w:rPr>
        <w:t>附件</w:t>
      </w:r>
      <w:r>
        <w:rPr>
          <w:rFonts w:ascii="仿宋_GB2312" w:eastAsia="仿宋_GB2312" w:cs="Times New Roman"/>
          <w:sz w:val="30"/>
          <w:szCs w:val="30"/>
        </w:rPr>
        <w:t>3</w:t>
      </w:r>
      <w:r>
        <w:rPr>
          <w:rFonts w:hint="eastAsia" w:ascii="仿宋_GB2312" w:eastAsia="仿宋_GB2312" w:cs="Times New Roman"/>
          <w:sz w:val="30"/>
          <w:szCs w:val="30"/>
        </w:rPr>
        <w:t>：</w:t>
      </w:r>
    </w:p>
    <w:p w14:paraId="469E09FB">
      <w:pPr>
        <w:spacing w:line="360" w:lineRule="auto"/>
        <w:jc w:val="right"/>
        <w:rPr>
          <w:rFonts w:ascii="仿宋_GB2312" w:hAnsi="Times New Roman" w:eastAsia="仿宋_GB2312" w:cs="Times New Roman"/>
          <w:b/>
          <w:sz w:val="30"/>
          <w:szCs w:val="30"/>
        </w:rPr>
      </w:pPr>
      <w:r>
        <w:rPr>
          <w:rFonts w:hint="eastAsia" w:ascii="仿宋_GB2312" w:eastAsia="仿宋_GB2312" w:cs="Times New Roman"/>
          <w:sz w:val="30"/>
          <w:szCs w:val="30"/>
        </w:rPr>
        <w:t>申请书编号：</w:t>
      </w:r>
    </w:p>
    <w:p w14:paraId="0F9D6B86">
      <w:pPr>
        <w:spacing w:line="360" w:lineRule="auto"/>
        <w:rPr>
          <w:rFonts w:ascii="仿宋_GB2312" w:hAnsi="Times New Roman" w:eastAsia="仿宋_GB2312" w:cs="Times New Roman"/>
          <w:b/>
          <w:sz w:val="30"/>
          <w:szCs w:val="30"/>
        </w:rPr>
      </w:pPr>
    </w:p>
    <w:p w14:paraId="6774F484">
      <w:pPr>
        <w:spacing w:line="360" w:lineRule="auto"/>
        <w:jc w:val="center"/>
        <w:rPr>
          <w:rFonts w:cs="Times New Roman" w:asciiTheme="majorEastAsia" w:hAnsiTheme="majorEastAsia" w:eastAsiaTheme="majorEastAsia"/>
          <w:b/>
          <w:sz w:val="36"/>
          <w:szCs w:val="30"/>
        </w:rPr>
      </w:pPr>
      <w:r>
        <w:rPr>
          <w:rFonts w:hint="eastAsia" w:cs="Times New Roman" w:asciiTheme="majorEastAsia" w:hAnsiTheme="majorEastAsia" w:eastAsiaTheme="majorEastAsia"/>
          <w:b/>
          <w:sz w:val="36"/>
          <w:szCs w:val="30"/>
        </w:rPr>
        <w:t>北京金融资产交易所</w:t>
      </w:r>
    </w:p>
    <w:p w14:paraId="05FE9240">
      <w:pPr>
        <w:spacing w:line="360" w:lineRule="auto"/>
        <w:jc w:val="center"/>
        <w:rPr>
          <w:rFonts w:cs="Times New Roman" w:asciiTheme="majorEastAsia" w:hAnsiTheme="majorEastAsia" w:eastAsiaTheme="majorEastAsia"/>
          <w:b/>
          <w:sz w:val="36"/>
          <w:szCs w:val="30"/>
        </w:rPr>
      </w:pPr>
      <w:r>
        <w:rPr>
          <w:rFonts w:hint="eastAsia" w:cs="Times New Roman" w:asciiTheme="majorEastAsia" w:hAnsiTheme="majorEastAsia" w:eastAsiaTheme="majorEastAsia"/>
          <w:b/>
          <w:sz w:val="36"/>
          <w:szCs w:val="30"/>
        </w:rPr>
        <w:t>到期违约债券受让申请书</w:t>
      </w:r>
    </w:p>
    <w:p w14:paraId="26B693B6">
      <w:pPr>
        <w:spacing w:line="360" w:lineRule="auto"/>
        <w:jc w:val="center"/>
        <w:rPr>
          <w:rFonts w:ascii="仿宋_GB2312" w:hAnsi="Times New Roman" w:eastAsia="仿宋_GB2312" w:cs="Times New Roman"/>
          <w:sz w:val="30"/>
          <w:szCs w:val="30"/>
        </w:rPr>
      </w:pPr>
    </w:p>
    <w:p w14:paraId="7562ADB8">
      <w:pPr>
        <w:spacing w:line="360" w:lineRule="auto"/>
        <w:rPr>
          <w:rFonts w:ascii="仿宋_GB2312" w:hAnsi="Times New Roman" w:eastAsia="仿宋_GB2312" w:cs="Times New Roman"/>
          <w:sz w:val="30"/>
          <w:szCs w:val="30"/>
        </w:rPr>
      </w:pPr>
    </w:p>
    <w:p w14:paraId="741EA98B">
      <w:pPr>
        <w:spacing w:line="360" w:lineRule="auto"/>
        <w:ind w:left="926" w:leftChars="386"/>
        <w:rPr>
          <w:rFonts w:ascii="仿宋_GB2312" w:eastAsia="仿宋_GB2312" w:cs="Times New Roman"/>
          <w:sz w:val="30"/>
          <w:szCs w:val="30"/>
        </w:rPr>
      </w:pPr>
      <w:r>
        <w:rPr>
          <w:rFonts w:hint="eastAsia" w:ascii="仿宋_GB2312" w:eastAsia="仿宋_GB2312" w:cs="Times New Roman"/>
          <w:sz w:val="30"/>
          <w:szCs w:val="30"/>
        </w:rPr>
        <w:t>项目编号：</w:t>
      </w:r>
    </w:p>
    <w:p w14:paraId="4142CECD">
      <w:pPr>
        <w:spacing w:line="360" w:lineRule="auto"/>
        <w:ind w:left="926" w:leftChars="386"/>
        <w:rPr>
          <w:rFonts w:ascii="仿宋_GB2312" w:eastAsia="仿宋_GB2312" w:cs="Times New Roman"/>
          <w:sz w:val="30"/>
          <w:szCs w:val="30"/>
        </w:rPr>
      </w:pPr>
      <w:r>
        <w:rPr>
          <w:rFonts w:hint="eastAsia" w:ascii="仿宋_GB2312" w:eastAsia="仿宋_GB2312" w:cs="Times New Roman"/>
          <w:sz w:val="30"/>
          <w:szCs w:val="30"/>
        </w:rPr>
        <w:t>受让标的名称：（债券全称）</w:t>
      </w:r>
    </w:p>
    <w:p w14:paraId="1A247CAE">
      <w:pPr>
        <w:spacing w:line="360" w:lineRule="auto"/>
        <w:ind w:firstLine="750" w:firstLineChars="250"/>
        <w:rPr>
          <w:rFonts w:ascii="仿宋_GB2312" w:eastAsia="仿宋_GB2312" w:cs="Times New Roman"/>
          <w:sz w:val="30"/>
          <w:szCs w:val="30"/>
        </w:rPr>
      </w:pPr>
      <w:r>
        <w:rPr>
          <w:rFonts w:hint="eastAsia" w:ascii="仿宋_GB2312" w:eastAsia="仿宋_GB2312" w:cs="Times New Roman"/>
          <w:sz w:val="30"/>
          <w:szCs w:val="30"/>
        </w:rPr>
        <w:t>受让标的债券代码：</w:t>
      </w:r>
    </w:p>
    <w:p w14:paraId="66D53EC7">
      <w:pPr>
        <w:spacing w:line="360" w:lineRule="auto"/>
        <w:ind w:left="926" w:leftChars="386"/>
        <w:rPr>
          <w:rFonts w:ascii="仿宋_GB2312" w:eastAsia="仿宋_GB2312" w:cs="Times New Roman"/>
          <w:sz w:val="30"/>
          <w:szCs w:val="30"/>
        </w:rPr>
      </w:pPr>
      <w:r>
        <w:rPr>
          <w:rFonts w:hint="eastAsia" w:ascii="仿宋_GB2312" w:eastAsia="仿宋_GB2312" w:cs="Times New Roman"/>
          <w:sz w:val="30"/>
          <w:szCs w:val="30"/>
        </w:rPr>
        <w:t>受让标的转让券面总额：xxx</w:t>
      </w:r>
    </w:p>
    <w:p w14:paraId="2C0A5CDC">
      <w:pPr>
        <w:spacing w:line="360" w:lineRule="auto"/>
        <w:rPr>
          <w:rFonts w:ascii="仿宋_GB2312" w:eastAsia="仿宋_GB2312" w:cs="Times New Roman"/>
          <w:sz w:val="30"/>
          <w:szCs w:val="30"/>
        </w:rPr>
      </w:pPr>
    </w:p>
    <w:p w14:paraId="26836E8E">
      <w:pPr>
        <w:spacing w:line="360" w:lineRule="auto"/>
        <w:rPr>
          <w:rFonts w:ascii="仿宋_GB2312" w:eastAsia="仿宋_GB2312" w:cs="Times New Roman"/>
          <w:sz w:val="30"/>
          <w:szCs w:val="30"/>
        </w:rPr>
      </w:pPr>
    </w:p>
    <w:p w14:paraId="484BD632">
      <w:pPr>
        <w:spacing w:line="360" w:lineRule="auto"/>
        <w:ind w:left="926" w:leftChars="386"/>
        <w:rPr>
          <w:rFonts w:ascii="仿宋_GB2312" w:eastAsia="仿宋_GB2312" w:cs="Times New Roman"/>
          <w:sz w:val="30"/>
          <w:szCs w:val="30"/>
        </w:rPr>
      </w:pPr>
    </w:p>
    <w:p w14:paraId="7998D34F">
      <w:pPr>
        <w:spacing w:line="360" w:lineRule="auto"/>
        <w:ind w:firstLine="900" w:firstLineChars="300"/>
        <w:rPr>
          <w:rFonts w:ascii="仿宋_GB2312" w:eastAsia="仿宋_GB2312" w:cs="Times New Roman"/>
          <w:sz w:val="30"/>
          <w:szCs w:val="30"/>
        </w:rPr>
      </w:pPr>
    </w:p>
    <w:p w14:paraId="00A025D3">
      <w:pPr>
        <w:spacing w:line="360" w:lineRule="auto"/>
        <w:rPr>
          <w:rFonts w:ascii="仿宋_GB2312" w:eastAsia="仿宋_GB2312" w:cs="Times New Roman"/>
          <w:sz w:val="30"/>
          <w:szCs w:val="30"/>
        </w:rPr>
      </w:pPr>
    </w:p>
    <w:p w14:paraId="3457BEA7">
      <w:pPr>
        <w:spacing w:line="360" w:lineRule="auto"/>
        <w:rPr>
          <w:rFonts w:ascii="仿宋_GB2312" w:eastAsia="仿宋_GB2312" w:cs="Times New Roman"/>
          <w:sz w:val="30"/>
          <w:szCs w:val="30"/>
        </w:rPr>
      </w:pPr>
    </w:p>
    <w:p w14:paraId="3B4D1394">
      <w:pPr>
        <w:spacing w:line="360" w:lineRule="auto"/>
        <w:rPr>
          <w:rFonts w:ascii="仿宋_GB2312" w:eastAsia="仿宋_GB2312" w:cs="Times New Roman"/>
          <w:sz w:val="30"/>
          <w:szCs w:val="30"/>
        </w:rPr>
      </w:pPr>
    </w:p>
    <w:p w14:paraId="1B22D039">
      <w:pPr>
        <w:wordWrap w:val="0"/>
        <w:spacing w:line="360" w:lineRule="auto"/>
        <w:jc w:val="right"/>
        <w:rPr>
          <w:rFonts w:ascii="仿宋_GB2312" w:eastAsia="仿宋_GB2312" w:cs="Times New Roman"/>
          <w:sz w:val="30"/>
          <w:szCs w:val="30"/>
        </w:rPr>
      </w:pPr>
      <w:r>
        <w:rPr>
          <w:rFonts w:hint="eastAsia" w:ascii="仿宋_GB2312" w:eastAsia="仿宋_GB2312" w:cs="Times New Roman"/>
          <w:sz w:val="30"/>
          <w:szCs w:val="30"/>
        </w:rPr>
        <w:t xml:space="preserve">申请人：               </w:t>
      </w:r>
    </w:p>
    <w:p w14:paraId="11B22E18">
      <w:pPr>
        <w:spacing w:line="360" w:lineRule="auto"/>
        <w:jc w:val="right"/>
        <w:rPr>
          <w:rFonts w:ascii="仿宋_GB2312" w:eastAsia="仿宋_GB2312" w:cs="Times New Roman"/>
          <w:sz w:val="30"/>
          <w:szCs w:val="30"/>
        </w:rPr>
      </w:pPr>
      <w:r>
        <w:rPr>
          <w:rFonts w:hint="eastAsia" w:ascii="仿宋_GB2312" w:eastAsia="仿宋_GB2312" w:cs="Times New Roman"/>
          <w:sz w:val="30"/>
          <w:szCs w:val="30"/>
        </w:rPr>
        <w:t>（意向受让方盖章）</w:t>
      </w:r>
    </w:p>
    <w:p w14:paraId="1E17AF23">
      <w:pPr>
        <w:tabs>
          <w:tab w:val="left" w:pos="7655"/>
        </w:tabs>
        <w:spacing w:line="360" w:lineRule="auto"/>
        <w:ind w:right="84" w:firstLine="2700"/>
        <w:jc w:val="right"/>
        <w:rPr>
          <w:rFonts w:ascii="仿宋_GB2312" w:eastAsia="仿宋_GB2312" w:cs="Times New Roman"/>
          <w:sz w:val="30"/>
          <w:szCs w:val="30"/>
        </w:rPr>
      </w:pPr>
      <w:r>
        <w:rPr>
          <w:rFonts w:hint="eastAsia" w:ascii="仿宋_GB2312" w:eastAsia="仿宋_GB2312" w:cs="Times New Roman"/>
          <w:sz w:val="30"/>
          <w:szCs w:val="30"/>
        </w:rPr>
        <w:t>申请日期：  年  月  日</w:t>
      </w:r>
    </w:p>
    <w:p w14:paraId="015053CB">
      <w:pPr>
        <w:rPr>
          <w:rFonts w:ascii="仿宋_GB2312" w:hAnsi="华文中宋" w:eastAsia="仿宋_GB2312" w:cs="Times New Roman"/>
          <w:b/>
          <w:sz w:val="28"/>
          <w:szCs w:val="28"/>
        </w:rPr>
      </w:pPr>
      <w:r>
        <w:rPr>
          <w:rFonts w:ascii="仿宋_GB2312" w:hAnsi="华文中宋" w:eastAsia="仿宋_GB2312" w:cs="Times New Roman"/>
          <w:b/>
          <w:sz w:val="28"/>
          <w:szCs w:val="28"/>
        </w:rPr>
        <w:br w:type="page"/>
      </w:r>
    </w:p>
    <w:p w14:paraId="2FDFA1CC">
      <w:pPr>
        <w:spacing w:before="78" w:after="78" w:line="360" w:lineRule="auto"/>
        <w:jc w:val="center"/>
        <w:rPr>
          <w:rFonts w:ascii="仿宋_GB2312" w:hAnsi="Times New Roman" w:eastAsia="仿宋_GB2312" w:cs="Times New Roman"/>
          <w:b/>
          <w:sz w:val="28"/>
          <w:szCs w:val="28"/>
        </w:rPr>
      </w:pPr>
      <w:r>
        <w:rPr>
          <w:rFonts w:hint="eastAsia" w:ascii="仿宋_GB2312" w:hAnsi="华文中宋" w:eastAsia="仿宋_GB2312" w:cs="Times New Roman"/>
          <w:b/>
          <w:sz w:val="28"/>
          <w:szCs w:val="28"/>
        </w:rPr>
        <w:t>意向受让方基本情况</w:t>
      </w:r>
    </w:p>
    <w:tbl>
      <w:tblPr>
        <w:tblStyle w:val="8"/>
        <w:tblW w:w="877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40"/>
        <w:gridCol w:w="1440"/>
        <w:gridCol w:w="5894"/>
      </w:tblGrid>
      <w:tr w14:paraId="57A75C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tcBorders>
              <w:top w:val="single" w:color="auto" w:sz="12" w:space="0"/>
              <w:left w:val="single" w:color="auto" w:sz="12" w:space="0"/>
              <w:bottom w:val="single" w:color="auto" w:sz="6" w:space="0"/>
              <w:right w:val="single" w:color="auto" w:sz="6" w:space="0"/>
            </w:tcBorders>
            <w:vAlign w:val="center"/>
          </w:tcPr>
          <w:p w14:paraId="2D36AF82">
            <w:pPr>
              <w:rPr>
                <w:rFonts w:ascii="仿宋_GB2312" w:eastAsia="仿宋_GB2312"/>
                <w:b/>
                <w:bCs/>
                <w:szCs w:val="28"/>
              </w:rPr>
            </w:pPr>
            <w:r>
              <w:rPr>
                <w:rFonts w:hint="eastAsia" w:ascii="仿宋_GB2312" w:eastAsia="仿宋_GB2312"/>
                <w:b/>
                <w:bCs/>
                <w:szCs w:val="28"/>
              </w:rPr>
              <w:t>意向受让方全称</w:t>
            </w:r>
          </w:p>
        </w:tc>
        <w:tc>
          <w:tcPr>
            <w:tcW w:w="7334" w:type="dxa"/>
            <w:gridSpan w:val="2"/>
            <w:tcBorders>
              <w:top w:val="single" w:color="auto" w:sz="12" w:space="0"/>
              <w:left w:val="single" w:color="auto" w:sz="6" w:space="0"/>
              <w:bottom w:val="single" w:color="auto" w:sz="6" w:space="0"/>
              <w:right w:val="single" w:color="auto" w:sz="12" w:space="0"/>
            </w:tcBorders>
            <w:vAlign w:val="center"/>
          </w:tcPr>
          <w:p w14:paraId="2BEDB69E">
            <w:pPr>
              <w:rPr>
                <w:rFonts w:ascii="仿宋_GB2312" w:eastAsia="仿宋_GB2312"/>
                <w:szCs w:val="28"/>
              </w:rPr>
            </w:pPr>
          </w:p>
        </w:tc>
      </w:tr>
      <w:tr w14:paraId="0A2AF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vMerge w:val="restart"/>
            <w:tcBorders>
              <w:top w:val="single" w:color="auto" w:sz="6" w:space="0"/>
              <w:left w:val="single" w:color="auto" w:sz="12" w:space="0"/>
              <w:bottom w:val="single" w:color="auto" w:sz="6" w:space="0"/>
              <w:right w:val="single" w:color="auto" w:sz="6" w:space="0"/>
            </w:tcBorders>
            <w:vAlign w:val="center"/>
          </w:tcPr>
          <w:p w14:paraId="4DB4E02F">
            <w:pPr>
              <w:rPr>
                <w:rFonts w:ascii="仿宋_GB2312" w:eastAsia="仿宋_GB2312"/>
                <w:b/>
                <w:bCs/>
                <w:szCs w:val="28"/>
              </w:rPr>
            </w:pPr>
            <w:r>
              <w:rPr>
                <w:rFonts w:hint="eastAsia" w:ascii="仿宋_GB2312" w:eastAsia="仿宋_GB2312"/>
                <w:b/>
                <w:bCs/>
                <w:szCs w:val="28"/>
              </w:rPr>
              <w:t>基  本</w:t>
            </w:r>
          </w:p>
          <w:p w14:paraId="630CFFB3">
            <w:pPr>
              <w:rPr>
                <w:rFonts w:ascii="仿宋_GB2312" w:eastAsia="仿宋_GB2312"/>
                <w:b/>
                <w:bCs/>
                <w:szCs w:val="28"/>
              </w:rPr>
            </w:pPr>
            <w:r>
              <w:rPr>
                <w:rFonts w:hint="eastAsia" w:ascii="仿宋_GB2312" w:eastAsia="仿宋_GB2312"/>
                <w:b/>
                <w:bCs/>
                <w:szCs w:val="28"/>
              </w:rPr>
              <w:t>情  况</w:t>
            </w:r>
          </w:p>
          <w:p w14:paraId="38903D60">
            <w:pPr>
              <w:rPr>
                <w:rFonts w:ascii="仿宋_GB2312" w:eastAsia="仿宋_GB2312"/>
                <w:b/>
                <w:bCs/>
                <w:szCs w:val="28"/>
              </w:rPr>
            </w:pPr>
          </w:p>
        </w:tc>
        <w:tc>
          <w:tcPr>
            <w:tcW w:w="7334" w:type="dxa"/>
            <w:gridSpan w:val="2"/>
            <w:tcBorders>
              <w:top w:val="single" w:color="auto" w:sz="6" w:space="0"/>
              <w:left w:val="single" w:color="auto" w:sz="6" w:space="0"/>
              <w:bottom w:val="single" w:color="auto" w:sz="6" w:space="0"/>
              <w:right w:val="single" w:color="auto" w:sz="12" w:space="0"/>
            </w:tcBorders>
            <w:vAlign w:val="center"/>
          </w:tcPr>
          <w:p w14:paraId="01929823">
            <w:pPr>
              <w:jc w:val="center"/>
              <w:rPr>
                <w:rFonts w:ascii="仿宋_GB2312" w:eastAsia="仿宋_GB2312"/>
                <w:b/>
                <w:szCs w:val="28"/>
              </w:rPr>
            </w:pPr>
            <w:r>
              <w:rPr>
                <w:rFonts w:hint="eastAsia" w:ascii="仿宋_GB2312" w:eastAsia="仿宋_GB2312"/>
                <w:b/>
                <w:szCs w:val="28"/>
              </w:rPr>
              <w:t>法人类机构</w:t>
            </w:r>
          </w:p>
        </w:tc>
      </w:tr>
      <w:tr w14:paraId="665861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vMerge w:val="continue"/>
            <w:tcBorders>
              <w:top w:val="single" w:color="auto" w:sz="6" w:space="0"/>
              <w:left w:val="single" w:color="auto" w:sz="12" w:space="0"/>
              <w:bottom w:val="single" w:color="auto" w:sz="6" w:space="0"/>
              <w:right w:val="single" w:color="auto" w:sz="6" w:space="0"/>
            </w:tcBorders>
            <w:vAlign w:val="center"/>
          </w:tcPr>
          <w:p w14:paraId="215076B4">
            <w:pPr>
              <w:rPr>
                <w:rFonts w:ascii="仿宋_GB2312" w:eastAsia="仿宋_GB2312"/>
                <w:b/>
                <w:bCs/>
                <w:szCs w:val="28"/>
              </w:rPr>
            </w:pPr>
          </w:p>
        </w:tc>
        <w:tc>
          <w:tcPr>
            <w:tcW w:w="1440" w:type="dxa"/>
            <w:tcBorders>
              <w:top w:val="single" w:color="auto" w:sz="6" w:space="0"/>
              <w:left w:val="single" w:color="auto" w:sz="6" w:space="0"/>
              <w:bottom w:val="single" w:color="auto" w:sz="6" w:space="0"/>
              <w:right w:val="single" w:color="auto" w:sz="6" w:space="0"/>
            </w:tcBorders>
            <w:vAlign w:val="center"/>
          </w:tcPr>
          <w:p w14:paraId="49BBB1C5">
            <w:pPr>
              <w:rPr>
                <w:rFonts w:ascii="仿宋_GB2312" w:eastAsia="仿宋_GB2312"/>
                <w:szCs w:val="28"/>
              </w:rPr>
            </w:pPr>
            <w:r>
              <w:rPr>
                <w:rFonts w:hint="eastAsia" w:ascii="仿宋_GB2312" w:eastAsia="仿宋_GB2312"/>
                <w:szCs w:val="28"/>
              </w:rPr>
              <w:t>地址及邮编</w:t>
            </w:r>
          </w:p>
        </w:tc>
        <w:tc>
          <w:tcPr>
            <w:tcW w:w="5894" w:type="dxa"/>
            <w:tcBorders>
              <w:top w:val="single" w:color="auto" w:sz="6" w:space="0"/>
              <w:left w:val="single" w:color="auto" w:sz="6" w:space="0"/>
              <w:bottom w:val="single" w:color="auto" w:sz="6" w:space="0"/>
              <w:right w:val="single" w:color="auto" w:sz="12" w:space="0"/>
            </w:tcBorders>
            <w:vAlign w:val="center"/>
          </w:tcPr>
          <w:p w14:paraId="44E2B7EE">
            <w:pPr>
              <w:rPr>
                <w:rFonts w:ascii="仿宋_GB2312" w:eastAsia="仿宋_GB2312"/>
                <w:szCs w:val="28"/>
              </w:rPr>
            </w:pPr>
          </w:p>
        </w:tc>
      </w:tr>
      <w:tr w14:paraId="120C81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vMerge w:val="continue"/>
            <w:tcBorders>
              <w:top w:val="single" w:color="auto" w:sz="6" w:space="0"/>
              <w:left w:val="single" w:color="auto" w:sz="12" w:space="0"/>
              <w:bottom w:val="single" w:color="auto" w:sz="6" w:space="0"/>
              <w:right w:val="single" w:color="auto" w:sz="6" w:space="0"/>
            </w:tcBorders>
            <w:vAlign w:val="center"/>
          </w:tcPr>
          <w:p w14:paraId="28124D50">
            <w:pPr>
              <w:rPr>
                <w:rFonts w:ascii="仿宋_GB2312" w:eastAsia="仿宋_GB2312"/>
                <w:b/>
                <w:bCs/>
                <w:szCs w:val="28"/>
              </w:rPr>
            </w:pPr>
          </w:p>
        </w:tc>
        <w:tc>
          <w:tcPr>
            <w:tcW w:w="1440" w:type="dxa"/>
            <w:tcBorders>
              <w:top w:val="single" w:color="auto" w:sz="6" w:space="0"/>
              <w:left w:val="single" w:color="auto" w:sz="6" w:space="0"/>
              <w:bottom w:val="single" w:color="auto" w:sz="6" w:space="0"/>
              <w:right w:val="single" w:color="auto" w:sz="6" w:space="0"/>
            </w:tcBorders>
            <w:vAlign w:val="center"/>
          </w:tcPr>
          <w:p w14:paraId="32ECC06E">
            <w:pPr>
              <w:rPr>
                <w:rFonts w:ascii="仿宋_GB2312" w:eastAsia="仿宋_GB2312"/>
                <w:szCs w:val="28"/>
              </w:rPr>
            </w:pPr>
            <w:r>
              <w:rPr>
                <w:rFonts w:hint="eastAsia" w:ascii="仿宋_GB2312" w:eastAsia="仿宋_GB2312"/>
                <w:szCs w:val="28"/>
              </w:rPr>
              <w:t>联系人</w:t>
            </w:r>
          </w:p>
        </w:tc>
        <w:tc>
          <w:tcPr>
            <w:tcW w:w="5894" w:type="dxa"/>
            <w:tcBorders>
              <w:top w:val="single" w:color="auto" w:sz="6" w:space="0"/>
              <w:left w:val="single" w:color="auto" w:sz="6" w:space="0"/>
              <w:bottom w:val="single" w:color="auto" w:sz="6" w:space="0"/>
              <w:right w:val="single" w:color="auto" w:sz="12" w:space="0"/>
            </w:tcBorders>
            <w:vAlign w:val="center"/>
          </w:tcPr>
          <w:p w14:paraId="53546C25">
            <w:pPr>
              <w:rPr>
                <w:rFonts w:ascii="仿宋_GB2312" w:eastAsia="仿宋_GB2312"/>
                <w:szCs w:val="28"/>
              </w:rPr>
            </w:pPr>
          </w:p>
        </w:tc>
      </w:tr>
      <w:tr w14:paraId="42764B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vMerge w:val="continue"/>
            <w:tcBorders>
              <w:top w:val="single" w:color="auto" w:sz="6" w:space="0"/>
              <w:left w:val="single" w:color="auto" w:sz="12" w:space="0"/>
              <w:bottom w:val="single" w:color="auto" w:sz="6" w:space="0"/>
              <w:right w:val="single" w:color="auto" w:sz="6" w:space="0"/>
            </w:tcBorders>
            <w:vAlign w:val="center"/>
          </w:tcPr>
          <w:p w14:paraId="1569EBED">
            <w:pPr>
              <w:rPr>
                <w:rFonts w:ascii="仿宋_GB2312" w:eastAsia="仿宋_GB2312"/>
                <w:b/>
                <w:bCs/>
                <w:szCs w:val="28"/>
              </w:rPr>
            </w:pPr>
          </w:p>
        </w:tc>
        <w:tc>
          <w:tcPr>
            <w:tcW w:w="1440" w:type="dxa"/>
            <w:tcBorders>
              <w:top w:val="single" w:color="auto" w:sz="6" w:space="0"/>
              <w:left w:val="single" w:color="auto" w:sz="6" w:space="0"/>
              <w:bottom w:val="single" w:color="auto" w:sz="6" w:space="0"/>
              <w:right w:val="single" w:color="auto" w:sz="6" w:space="0"/>
            </w:tcBorders>
            <w:vAlign w:val="center"/>
          </w:tcPr>
          <w:p w14:paraId="3FCBA293">
            <w:pPr>
              <w:rPr>
                <w:rFonts w:ascii="仿宋_GB2312" w:eastAsia="仿宋_GB2312"/>
                <w:szCs w:val="28"/>
              </w:rPr>
            </w:pPr>
            <w:r>
              <w:rPr>
                <w:rFonts w:hint="eastAsia" w:ascii="仿宋_GB2312" w:eastAsia="仿宋_GB2312"/>
                <w:szCs w:val="28"/>
              </w:rPr>
              <w:t>联系电话</w:t>
            </w:r>
          </w:p>
        </w:tc>
        <w:tc>
          <w:tcPr>
            <w:tcW w:w="5894" w:type="dxa"/>
            <w:tcBorders>
              <w:top w:val="single" w:color="auto" w:sz="6" w:space="0"/>
              <w:left w:val="single" w:color="auto" w:sz="6" w:space="0"/>
              <w:bottom w:val="single" w:color="auto" w:sz="6" w:space="0"/>
              <w:right w:val="single" w:color="auto" w:sz="12" w:space="0"/>
            </w:tcBorders>
            <w:vAlign w:val="center"/>
          </w:tcPr>
          <w:p w14:paraId="6071C101">
            <w:pPr>
              <w:rPr>
                <w:rFonts w:ascii="仿宋_GB2312" w:eastAsia="仿宋_GB2312"/>
                <w:szCs w:val="28"/>
              </w:rPr>
            </w:pPr>
          </w:p>
        </w:tc>
      </w:tr>
      <w:tr w14:paraId="6DE3D2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vMerge w:val="continue"/>
            <w:tcBorders>
              <w:top w:val="single" w:color="auto" w:sz="6" w:space="0"/>
              <w:left w:val="single" w:color="auto" w:sz="12" w:space="0"/>
              <w:bottom w:val="single" w:color="auto" w:sz="6" w:space="0"/>
              <w:right w:val="single" w:color="auto" w:sz="6" w:space="0"/>
            </w:tcBorders>
            <w:vAlign w:val="center"/>
          </w:tcPr>
          <w:p w14:paraId="1F822602">
            <w:pPr>
              <w:rPr>
                <w:rFonts w:ascii="仿宋_GB2312" w:eastAsia="仿宋_GB2312"/>
                <w:b/>
                <w:bCs/>
                <w:szCs w:val="28"/>
              </w:rPr>
            </w:pPr>
          </w:p>
        </w:tc>
        <w:tc>
          <w:tcPr>
            <w:tcW w:w="1440" w:type="dxa"/>
            <w:tcBorders>
              <w:top w:val="single" w:color="auto" w:sz="6" w:space="0"/>
              <w:left w:val="single" w:color="auto" w:sz="6" w:space="0"/>
              <w:bottom w:val="single" w:color="auto" w:sz="6" w:space="0"/>
              <w:right w:val="single" w:color="auto" w:sz="6" w:space="0"/>
            </w:tcBorders>
            <w:vAlign w:val="center"/>
          </w:tcPr>
          <w:p w14:paraId="15B30400">
            <w:pPr>
              <w:rPr>
                <w:rFonts w:ascii="仿宋_GB2312" w:eastAsia="仿宋_GB2312"/>
                <w:szCs w:val="28"/>
              </w:rPr>
            </w:pPr>
            <w:r>
              <w:rPr>
                <w:rFonts w:hint="eastAsia" w:ascii="仿宋_GB2312" w:eastAsia="仿宋_GB2312"/>
                <w:szCs w:val="28"/>
              </w:rPr>
              <w:t>邮箱</w:t>
            </w:r>
          </w:p>
        </w:tc>
        <w:tc>
          <w:tcPr>
            <w:tcW w:w="5894" w:type="dxa"/>
            <w:tcBorders>
              <w:top w:val="single" w:color="auto" w:sz="6" w:space="0"/>
              <w:left w:val="single" w:color="auto" w:sz="6" w:space="0"/>
              <w:bottom w:val="single" w:color="auto" w:sz="6" w:space="0"/>
              <w:right w:val="single" w:color="auto" w:sz="12" w:space="0"/>
            </w:tcBorders>
            <w:vAlign w:val="center"/>
          </w:tcPr>
          <w:p w14:paraId="1E28AF51">
            <w:pPr>
              <w:rPr>
                <w:rFonts w:ascii="仿宋_GB2312" w:eastAsia="仿宋_GB2312"/>
                <w:szCs w:val="28"/>
              </w:rPr>
            </w:pPr>
          </w:p>
        </w:tc>
      </w:tr>
      <w:tr w14:paraId="4E189F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vMerge w:val="continue"/>
            <w:tcBorders>
              <w:top w:val="single" w:color="auto" w:sz="6" w:space="0"/>
              <w:left w:val="single" w:color="auto" w:sz="12" w:space="0"/>
              <w:bottom w:val="single" w:color="auto" w:sz="6" w:space="0"/>
              <w:right w:val="single" w:color="auto" w:sz="6" w:space="0"/>
            </w:tcBorders>
            <w:vAlign w:val="center"/>
          </w:tcPr>
          <w:p w14:paraId="02A40BC2">
            <w:pPr>
              <w:rPr>
                <w:rFonts w:ascii="仿宋_GB2312" w:eastAsia="仿宋_GB2312"/>
                <w:b/>
                <w:bCs/>
                <w:szCs w:val="28"/>
              </w:rPr>
            </w:pPr>
          </w:p>
        </w:tc>
        <w:tc>
          <w:tcPr>
            <w:tcW w:w="1440" w:type="dxa"/>
            <w:tcBorders>
              <w:top w:val="single" w:color="auto" w:sz="6" w:space="0"/>
              <w:left w:val="single" w:color="auto" w:sz="6" w:space="0"/>
              <w:bottom w:val="single" w:color="auto" w:sz="6" w:space="0"/>
              <w:right w:val="single" w:color="auto" w:sz="6" w:space="0"/>
            </w:tcBorders>
            <w:vAlign w:val="center"/>
          </w:tcPr>
          <w:p w14:paraId="7BE190F9">
            <w:pPr>
              <w:rPr>
                <w:rFonts w:ascii="仿宋_GB2312" w:eastAsia="仿宋_GB2312"/>
                <w:szCs w:val="28"/>
              </w:rPr>
            </w:pPr>
            <w:r>
              <w:rPr>
                <w:rFonts w:hint="eastAsia" w:ascii="仿宋_GB2312" w:eastAsia="仿宋_GB2312"/>
                <w:szCs w:val="28"/>
              </w:rPr>
              <w:t>机构</w:t>
            </w:r>
            <w:r>
              <w:rPr>
                <w:rFonts w:ascii="仿宋_GB2312" w:eastAsia="仿宋_GB2312"/>
                <w:szCs w:val="28"/>
              </w:rPr>
              <w:t>全称</w:t>
            </w:r>
            <w:r>
              <w:rPr>
                <w:rStyle w:val="11"/>
                <w:rFonts w:ascii="仿宋_GB2312" w:eastAsia="仿宋_GB2312"/>
                <w:szCs w:val="28"/>
              </w:rPr>
              <w:footnoteReference w:id="4"/>
            </w:r>
          </w:p>
        </w:tc>
        <w:tc>
          <w:tcPr>
            <w:tcW w:w="5894" w:type="dxa"/>
            <w:tcBorders>
              <w:top w:val="single" w:color="auto" w:sz="6" w:space="0"/>
              <w:left w:val="single" w:color="auto" w:sz="6" w:space="0"/>
              <w:bottom w:val="single" w:color="auto" w:sz="6" w:space="0"/>
              <w:right w:val="single" w:color="auto" w:sz="12" w:space="0"/>
            </w:tcBorders>
            <w:vAlign w:val="center"/>
          </w:tcPr>
          <w:p w14:paraId="10C069B5">
            <w:pPr>
              <w:rPr>
                <w:rFonts w:ascii="仿宋_GB2312" w:eastAsia="仿宋_GB2312"/>
                <w:szCs w:val="28"/>
              </w:rPr>
            </w:pPr>
          </w:p>
        </w:tc>
      </w:tr>
      <w:tr w14:paraId="6869C7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vMerge w:val="continue"/>
            <w:tcBorders>
              <w:top w:val="single" w:color="auto" w:sz="6" w:space="0"/>
              <w:left w:val="single" w:color="auto" w:sz="12" w:space="0"/>
              <w:bottom w:val="single" w:color="auto" w:sz="6" w:space="0"/>
              <w:right w:val="single" w:color="auto" w:sz="6" w:space="0"/>
            </w:tcBorders>
            <w:vAlign w:val="center"/>
          </w:tcPr>
          <w:p w14:paraId="335B1C66">
            <w:pPr>
              <w:rPr>
                <w:rFonts w:ascii="仿宋_GB2312" w:eastAsia="仿宋_GB2312"/>
                <w:b/>
                <w:bCs/>
                <w:szCs w:val="28"/>
              </w:rPr>
            </w:pPr>
          </w:p>
        </w:tc>
        <w:tc>
          <w:tcPr>
            <w:tcW w:w="1440" w:type="dxa"/>
            <w:tcBorders>
              <w:top w:val="single" w:color="auto" w:sz="6" w:space="0"/>
              <w:left w:val="single" w:color="auto" w:sz="6" w:space="0"/>
              <w:bottom w:val="single" w:color="auto" w:sz="6" w:space="0"/>
              <w:right w:val="single" w:color="auto" w:sz="6" w:space="0"/>
            </w:tcBorders>
            <w:vAlign w:val="center"/>
          </w:tcPr>
          <w:p w14:paraId="48D31AE4">
            <w:pPr>
              <w:rPr>
                <w:rFonts w:ascii="仿宋_GB2312" w:eastAsia="仿宋_GB2312"/>
                <w:szCs w:val="28"/>
              </w:rPr>
            </w:pPr>
            <w:r>
              <w:rPr>
                <w:rFonts w:hint="eastAsia" w:ascii="仿宋_GB2312" w:eastAsia="仿宋_GB2312"/>
                <w:szCs w:val="28"/>
              </w:rPr>
              <w:t>机构</w:t>
            </w:r>
            <w:r>
              <w:rPr>
                <w:rFonts w:ascii="仿宋_GB2312" w:eastAsia="仿宋_GB2312"/>
                <w:szCs w:val="28"/>
              </w:rPr>
              <w:t>简称</w:t>
            </w:r>
            <w:r>
              <w:rPr>
                <w:rStyle w:val="11"/>
                <w:rFonts w:ascii="仿宋_GB2312" w:eastAsia="仿宋_GB2312"/>
                <w:szCs w:val="28"/>
              </w:rPr>
              <w:footnoteReference w:id="5" w:customMarkFollows="1"/>
              <w:t>1</w:t>
            </w:r>
          </w:p>
        </w:tc>
        <w:tc>
          <w:tcPr>
            <w:tcW w:w="5894" w:type="dxa"/>
            <w:tcBorders>
              <w:top w:val="single" w:color="auto" w:sz="6" w:space="0"/>
              <w:left w:val="single" w:color="auto" w:sz="6" w:space="0"/>
              <w:bottom w:val="single" w:color="auto" w:sz="6" w:space="0"/>
              <w:right w:val="single" w:color="auto" w:sz="12" w:space="0"/>
            </w:tcBorders>
            <w:vAlign w:val="center"/>
          </w:tcPr>
          <w:p w14:paraId="5AC3577D">
            <w:pPr>
              <w:rPr>
                <w:rFonts w:ascii="仿宋_GB2312" w:eastAsia="仿宋_GB2312"/>
                <w:szCs w:val="28"/>
              </w:rPr>
            </w:pPr>
          </w:p>
        </w:tc>
      </w:tr>
      <w:tr w14:paraId="4ADF53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vMerge w:val="continue"/>
            <w:tcBorders>
              <w:top w:val="single" w:color="auto" w:sz="6" w:space="0"/>
              <w:left w:val="single" w:color="auto" w:sz="12" w:space="0"/>
              <w:bottom w:val="single" w:color="auto" w:sz="6" w:space="0"/>
              <w:right w:val="single" w:color="auto" w:sz="6" w:space="0"/>
            </w:tcBorders>
            <w:vAlign w:val="center"/>
          </w:tcPr>
          <w:p w14:paraId="6BB68D5D">
            <w:pPr>
              <w:rPr>
                <w:rFonts w:ascii="仿宋_GB2312" w:eastAsia="仿宋_GB2312"/>
                <w:b/>
                <w:bCs/>
                <w:szCs w:val="28"/>
              </w:rPr>
            </w:pPr>
          </w:p>
        </w:tc>
        <w:tc>
          <w:tcPr>
            <w:tcW w:w="1440" w:type="dxa"/>
            <w:tcBorders>
              <w:top w:val="single" w:color="auto" w:sz="6" w:space="0"/>
              <w:left w:val="single" w:color="auto" w:sz="6" w:space="0"/>
              <w:bottom w:val="single" w:color="auto" w:sz="6" w:space="0"/>
              <w:right w:val="single" w:color="auto" w:sz="6" w:space="0"/>
            </w:tcBorders>
            <w:vAlign w:val="center"/>
          </w:tcPr>
          <w:p w14:paraId="6837F3C1">
            <w:pPr>
              <w:rPr>
                <w:rFonts w:ascii="仿宋_GB2312" w:eastAsia="仿宋_GB2312"/>
                <w:szCs w:val="28"/>
              </w:rPr>
            </w:pPr>
            <w:r>
              <w:rPr>
                <w:rFonts w:hint="eastAsia" w:ascii="仿宋_GB2312" w:eastAsia="仿宋_GB2312"/>
                <w:szCs w:val="28"/>
              </w:rPr>
              <w:t>登记托管账户全称</w:t>
            </w:r>
          </w:p>
        </w:tc>
        <w:tc>
          <w:tcPr>
            <w:tcW w:w="5894" w:type="dxa"/>
            <w:tcBorders>
              <w:top w:val="single" w:color="auto" w:sz="6" w:space="0"/>
              <w:left w:val="single" w:color="auto" w:sz="6" w:space="0"/>
              <w:bottom w:val="single" w:color="auto" w:sz="6" w:space="0"/>
              <w:right w:val="single" w:color="auto" w:sz="12" w:space="0"/>
            </w:tcBorders>
            <w:vAlign w:val="center"/>
          </w:tcPr>
          <w:p w14:paraId="0303CA5C">
            <w:pPr>
              <w:rPr>
                <w:rFonts w:ascii="仿宋_GB2312" w:eastAsia="仿宋_GB2312"/>
                <w:szCs w:val="28"/>
              </w:rPr>
            </w:pPr>
          </w:p>
        </w:tc>
      </w:tr>
      <w:tr w14:paraId="7ED092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vMerge w:val="continue"/>
            <w:tcBorders>
              <w:top w:val="single" w:color="auto" w:sz="6" w:space="0"/>
              <w:left w:val="single" w:color="auto" w:sz="12" w:space="0"/>
              <w:bottom w:val="single" w:color="auto" w:sz="6" w:space="0"/>
              <w:right w:val="single" w:color="auto" w:sz="6" w:space="0"/>
            </w:tcBorders>
            <w:vAlign w:val="center"/>
          </w:tcPr>
          <w:p w14:paraId="6E6194A0">
            <w:pPr>
              <w:rPr>
                <w:rFonts w:ascii="仿宋_GB2312" w:eastAsia="仿宋_GB2312"/>
                <w:b/>
                <w:bCs/>
                <w:szCs w:val="28"/>
              </w:rPr>
            </w:pPr>
          </w:p>
        </w:tc>
        <w:tc>
          <w:tcPr>
            <w:tcW w:w="1440" w:type="dxa"/>
            <w:tcBorders>
              <w:top w:val="single" w:color="auto" w:sz="6" w:space="0"/>
              <w:left w:val="single" w:color="auto" w:sz="6" w:space="0"/>
              <w:bottom w:val="single" w:color="auto" w:sz="6" w:space="0"/>
              <w:right w:val="single" w:color="auto" w:sz="6" w:space="0"/>
            </w:tcBorders>
            <w:vAlign w:val="center"/>
          </w:tcPr>
          <w:p w14:paraId="35F70B48">
            <w:pPr>
              <w:rPr>
                <w:rFonts w:ascii="仿宋_GB2312" w:eastAsia="仿宋_GB2312"/>
                <w:szCs w:val="28"/>
              </w:rPr>
            </w:pPr>
            <w:r>
              <w:rPr>
                <w:rFonts w:hint="eastAsia" w:ascii="仿宋_GB2312" w:eastAsia="仿宋_GB2312"/>
                <w:szCs w:val="28"/>
              </w:rPr>
              <w:t>登记托管</w:t>
            </w:r>
          </w:p>
          <w:p w14:paraId="4423B88E">
            <w:pPr>
              <w:rPr>
                <w:rFonts w:ascii="仿宋_GB2312" w:eastAsia="仿宋_GB2312"/>
                <w:szCs w:val="28"/>
              </w:rPr>
            </w:pPr>
            <w:r>
              <w:rPr>
                <w:rFonts w:hint="eastAsia" w:ascii="仿宋_GB2312" w:eastAsia="仿宋_GB2312"/>
                <w:szCs w:val="28"/>
              </w:rPr>
              <w:t>账号</w:t>
            </w:r>
          </w:p>
        </w:tc>
        <w:tc>
          <w:tcPr>
            <w:tcW w:w="5894" w:type="dxa"/>
            <w:tcBorders>
              <w:top w:val="single" w:color="auto" w:sz="6" w:space="0"/>
              <w:left w:val="single" w:color="auto" w:sz="6" w:space="0"/>
              <w:bottom w:val="single" w:color="auto" w:sz="6" w:space="0"/>
              <w:right w:val="single" w:color="auto" w:sz="12" w:space="0"/>
            </w:tcBorders>
            <w:vAlign w:val="center"/>
          </w:tcPr>
          <w:p w14:paraId="05524BFA">
            <w:pPr>
              <w:rPr>
                <w:rFonts w:ascii="仿宋_GB2312" w:eastAsia="仿宋_GB2312"/>
                <w:szCs w:val="28"/>
              </w:rPr>
            </w:pPr>
          </w:p>
        </w:tc>
      </w:tr>
      <w:tr w14:paraId="68A3F1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vMerge w:val="continue"/>
            <w:tcBorders>
              <w:top w:val="single" w:color="auto" w:sz="6" w:space="0"/>
              <w:left w:val="single" w:color="auto" w:sz="12" w:space="0"/>
              <w:bottom w:val="single" w:color="auto" w:sz="6" w:space="0"/>
              <w:right w:val="single" w:color="auto" w:sz="6" w:space="0"/>
            </w:tcBorders>
            <w:vAlign w:val="center"/>
          </w:tcPr>
          <w:p w14:paraId="148BBC7D">
            <w:pPr>
              <w:rPr>
                <w:rFonts w:ascii="仿宋_GB2312" w:eastAsia="仿宋_GB2312"/>
                <w:b/>
                <w:bCs/>
                <w:szCs w:val="28"/>
              </w:rPr>
            </w:pPr>
          </w:p>
        </w:tc>
        <w:tc>
          <w:tcPr>
            <w:tcW w:w="7334" w:type="dxa"/>
            <w:gridSpan w:val="2"/>
            <w:tcBorders>
              <w:top w:val="single" w:color="auto" w:sz="6" w:space="0"/>
              <w:left w:val="single" w:color="auto" w:sz="6" w:space="0"/>
              <w:bottom w:val="single" w:color="auto" w:sz="6" w:space="0"/>
              <w:right w:val="single" w:color="auto" w:sz="12" w:space="0"/>
            </w:tcBorders>
            <w:vAlign w:val="center"/>
          </w:tcPr>
          <w:p w14:paraId="6AC5B9F2">
            <w:pPr>
              <w:jc w:val="center"/>
              <w:rPr>
                <w:rFonts w:ascii="仿宋_GB2312" w:eastAsia="仿宋_GB2312"/>
                <w:b/>
                <w:szCs w:val="28"/>
              </w:rPr>
            </w:pPr>
            <w:r>
              <w:rPr>
                <w:rFonts w:hint="eastAsia" w:ascii="仿宋_GB2312" w:eastAsia="仿宋_GB2312"/>
                <w:b/>
                <w:szCs w:val="28"/>
              </w:rPr>
              <w:t>非法人产品</w:t>
            </w:r>
          </w:p>
        </w:tc>
      </w:tr>
      <w:tr w14:paraId="6A3639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vMerge w:val="continue"/>
            <w:tcBorders>
              <w:top w:val="single" w:color="auto" w:sz="6" w:space="0"/>
              <w:left w:val="single" w:color="auto" w:sz="12" w:space="0"/>
              <w:bottom w:val="single" w:color="auto" w:sz="6" w:space="0"/>
              <w:right w:val="single" w:color="auto" w:sz="6" w:space="0"/>
            </w:tcBorders>
            <w:vAlign w:val="center"/>
          </w:tcPr>
          <w:p w14:paraId="4618F579">
            <w:pPr>
              <w:rPr>
                <w:rFonts w:ascii="仿宋_GB2312" w:eastAsia="仿宋_GB2312"/>
                <w:b/>
                <w:bCs/>
                <w:szCs w:val="28"/>
              </w:rPr>
            </w:pPr>
          </w:p>
        </w:tc>
        <w:tc>
          <w:tcPr>
            <w:tcW w:w="1440" w:type="dxa"/>
            <w:tcBorders>
              <w:top w:val="single" w:color="auto" w:sz="6" w:space="0"/>
              <w:left w:val="single" w:color="auto" w:sz="6" w:space="0"/>
              <w:bottom w:val="single" w:color="auto" w:sz="6" w:space="0"/>
              <w:right w:val="single" w:color="auto" w:sz="6" w:space="0"/>
            </w:tcBorders>
            <w:vAlign w:val="center"/>
          </w:tcPr>
          <w:p w14:paraId="6D8A465C">
            <w:pPr>
              <w:rPr>
                <w:rFonts w:ascii="仿宋_GB2312" w:eastAsia="仿宋_GB2312"/>
                <w:szCs w:val="28"/>
              </w:rPr>
            </w:pPr>
            <w:r>
              <w:rPr>
                <w:rFonts w:hint="eastAsia" w:ascii="仿宋_GB2312" w:eastAsia="仿宋_GB2312"/>
                <w:szCs w:val="28"/>
              </w:rPr>
              <w:t>管理人</w:t>
            </w:r>
          </w:p>
          <w:p w14:paraId="236AD5EA">
            <w:pPr>
              <w:rPr>
                <w:rFonts w:ascii="仿宋_GB2312" w:eastAsia="仿宋_GB2312"/>
                <w:szCs w:val="28"/>
              </w:rPr>
            </w:pPr>
            <w:r>
              <w:rPr>
                <w:rFonts w:hint="eastAsia" w:ascii="仿宋_GB2312" w:eastAsia="仿宋_GB2312"/>
                <w:szCs w:val="28"/>
              </w:rPr>
              <w:t>（如有）</w:t>
            </w:r>
          </w:p>
        </w:tc>
        <w:tc>
          <w:tcPr>
            <w:tcW w:w="5894" w:type="dxa"/>
            <w:tcBorders>
              <w:top w:val="single" w:color="auto" w:sz="6" w:space="0"/>
              <w:left w:val="single" w:color="auto" w:sz="6" w:space="0"/>
              <w:bottom w:val="single" w:color="auto" w:sz="6" w:space="0"/>
              <w:right w:val="single" w:color="auto" w:sz="12" w:space="0"/>
            </w:tcBorders>
            <w:vAlign w:val="center"/>
          </w:tcPr>
          <w:p w14:paraId="5536CAAA">
            <w:pPr>
              <w:rPr>
                <w:rFonts w:ascii="仿宋_GB2312" w:eastAsia="仿宋_GB2312"/>
                <w:szCs w:val="28"/>
              </w:rPr>
            </w:pPr>
          </w:p>
        </w:tc>
      </w:tr>
      <w:tr w14:paraId="3109A1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vMerge w:val="continue"/>
            <w:tcBorders>
              <w:top w:val="single" w:color="auto" w:sz="6" w:space="0"/>
              <w:left w:val="single" w:color="auto" w:sz="12" w:space="0"/>
              <w:bottom w:val="single" w:color="auto" w:sz="6" w:space="0"/>
              <w:right w:val="single" w:color="auto" w:sz="6" w:space="0"/>
            </w:tcBorders>
            <w:vAlign w:val="center"/>
          </w:tcPr>
          <w:p w14:paraId="2854D916">
            <w:pPr>
              <w:rPr>
                <w:rFonts w:ascii="仿宋_GB2312" w:eastAsia="仿宋_GB2312"/>
                <w:b/>
                <w:bCs/>
                <w:szCs w:val="28"/>
              </w:rPr>
            </w:pPr>
          </w:p>
        </w:tc>
        <w:tc>
          <w:tcPr>
            <w:tcW w:w="1440" w:type="dxa"/>
            <w:tcBorders>
              <w:top w:val="single" w:color="auto" w:sz="6" w:space="0"/>
              <w:left w:val="single" w:color="auto" w:sz="6" w:space="0"/>
              <w:bottom w:val="single" w:color="auto" w:sz="6" w:space="0"/>
              <w:right w:val="single" w:color="auto" w:sz="6" w:space="0"/>
            </w:tcBorders>
            <w:vAlign w:val="center"/>
          </w:tcPr>
          <w:p w14:paraId="7F88FDB3">
            <w:pPr>
              <w:rPr>
                <w:rFonts w:ascii="仿宋_GB2312" w:eastAsia="仿宋_GB2312"/>
                <w:szCs w:val="28"/>
              </w:rPr>
            </w:pPr>
            <w:r>
              <w:rPr>
                <w:rFonts w:hint="eastAsia" w:ascii="仿宋_GB2312" w:eastAsia="仿宋_GB2312"/>
                <w:szCs w:val="28"/>
              </w:rPr>
              <w:t>联系人</w:t>
            </w:r>
          </w:p>
        </w:tc>
        <w:tc>
          <w:tcPr>
            <w:tcW w:w="5894" w:type="dxa"/>
            <w:tcBorders>
              <w:top w:val="single" w:color="auto" w:sz="6" w:space="0"/>
              <w:left w:val="single" w:color="auto" w:sz="6" w:space="0"/>
              <w:bottom w:val="single" w:color="auto" w:sz="6" w:space="0"/>
              <w:right w:val="single" w:color="auto" w:sz="12" w:space="0"/>
            </w:tcBorders>
            <w:vAlign w:val="center"/>
          </w:tcPr>
          <w:p w14:paraId="432F900E">
            <w:pPr>
              <w:rPr>
                <w:rFonts w:ascii="仿宋_GB2312" w:eastAsia="仿宋_GB2312"/>
                <w:szCs w:val="28"/>
              </w:rPr>
            </w:pPr>
          </w:p>
        </w:tc>
      </w:tr>
      <w:tr w14:paraId="03DA2B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vMerge w:val="continue"/>
            <w:tcBorders>
              <w:top w:val="single" w:color="auto" w:sz="6" w:space="0"/>
              <w:left w:val="single" w:color="auto" w:sz="12" w:space="0"/>
              <w:bottom w:val="single" w:color="auto" w:sz="6" w:space="0"/>
              <w:right w:val="single" w:color="auto" w:sz="6" w:space="0"/>
            </w:tcBorders>
            <w:vAlign w:val="center"/>
          </w:tcPr>
          <w:p w14:paraId="537490F6">
            <w:pPr>
              <w:rPr>
                <w:rFonts w:ascii="仿宋_GB2312" w:eastAsia="仿宋_GB2312"/>
                <w:b/>
                <w:bCs/>
                <w:szCs w:val="28"/>
              </w:rPr>
            </w:pPr>
          </w:p>
        </w:tc>
        <w:tc>
          <w:tcPr>
            <w:tcW w:w="1440" w:type="dxa"/>
            <w:tcBorders>
              <w:top w:val="single" w:color="auto" w:sz="6" w:space="0"/>
              <w:left w:val="single" w:color="auto" w:sz="6" w:space="0"/>
              <w:bottom w:val="single" w:color="auto" w:sz="6" w:space="0"/>
              <w:right w:val="single" w:color="auto" w:sz="6" w:space="0"/>
            </w:tcBorders>
            <w:vAlign w:val="center"/>
          </w:tcPr>
          <w:p w14:paraId="79DC49B0">
            <w:pPr>
              <w:rPr>
                <w:rFonts w:ascii="仿宋_GB2312" w:eastAsia="仿宋_GB2312"/>
                <w:szCs w:val="28"/>
              </w:rPr>
            </w:pPr>
            <w:r>
              <w:rPr>
                <w:rFonts w:hint="eastAsia" w:ascii="仿宋_GB2312" w:eastAsia="仿宋_GB2312"/>
                <w:szCs w:val="28"/>
              </w:rPr>
              <w:t>联系电话</w:t>
            </w:r>
          </w:p>
        </w:tc>
        <w:tc>
          <w:tcPr>
            <w:tcW w:w="5894" w:type="dxa"/>
            <w:tcBorders>
              <w:top w:val="single" w:color="auto" w:sz="6" w:space="0"/>
              <w:left w:val="single" w:color="auto" w:sz="6" w:space="0"/>
              <w:bottom w:val="single" w:color="auto" w:sz="6" w:space="0"/>
              <w:right w:val="single" w:color="auto" w:sz="12" w:space="0"/>
            </w:tcBorders>
            <w:vAlign w:val="center"/>
          </w:tcPr>
          <w:p w14:paraId="12358223">
            <w:pPr>
              <w:rPr>
                <w:rFonts w:ascii="仿宋_GB2312" w:eastAsia="仿宋_GB2312"/>
                <w:szCs w:val="28"/>
              </w:rPr>
            </w:pPr>
          </w:p>
        </w:tc>
      </w:tr>
      <w:tr w14:paraId="71596E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vMerge w:val="continue"/>
            <w:tcBorders>
              <w:top w:val="single" w:color="auto" w:sz="6" w:space="0"/>
              <w:left w:val="single" w:color="auto" w:sz="12" w:space="0"/>
              <w:bottom w:val="single" w:color="auto" w:sz="6" w:space="0"/>
              <w:right w:val="single" w:color="auto" w:sz="6" w:space="0"/>
            </w:tcBorders>
            <w:vAlign w:val="center"/>
          </w:tcPr>
          <w:p w14:paraId="08E1DF1B">
            <w:pPr>
              <w:rPr>
                <w:rFonts w:ascii="仿宋_GB2312" w:eastAsia="仿宋_GB2312"/>
                <w:b/>
                <w:bCs/>
                <w:szCs w:val="28"/>
              </w:rPr>
            </w:pPr>
          </w:p>
        </w:tc>
        <w:tc>
          <w:tcPr>
            <w:tcW w:w="1440" w:type="dxa"/>
            <w:tcBorders>
              <w:top w:val="single" w:color="auto" w:sz="6" w:space="0"/>
              <w:left w:val="single" w:color="auto" w:sz="6" w:space="0"/>
              <w:bottom w:val="single" w:color="auto" w:sz="6" w:space="0"/>
              <w:right w:val="single" w:color="auto" w:sz="6" w:space="0"/>
            </w:tcBorders>
            <w:vAlign w:val="center"/>
          </w:tcPr>
          <w:p w14:paraId="5BC3F14F">
            <w:pPr>
              <w:rPr>
                <w:rFonts w:ascii="仿宋_GB2312" w:eastAsia="仿宋_GB2312"/>
                <w:szCs w:val="28"/>
              </w:rPr>
            </w:pPr>
            <w:r>
              <w:rPr>
                <w:rFonts w:hint="eastAsia" w:ascii="仿宋_GB2312" w:eastAsia="仿宋_GB2312"/>
                <w:szCs w:val="28"/>
              </w:rPr>
              <w:t>邮箱</w:t>
            </w:r>
          </w:p>
        </w:tc>
        <w:tc>
          <w:tcPr>
            <w:tcW w:w="5894" w:type="dxa"/>
            <w:tcBorders>
              <w:top w:val="single" w:color="auto" w:sz="6" w:space="0"/>
              <w:left w:val="single" w:color="auto" w:sz="6" w:space="0"/>
              <w:bottom w:val="single" w:color="auto" w:sz="6" w:space="0"/>
              <w:right w:val="single" w:color="auto" w:sz="12" w:space="0"/>
            </w:tcBorders>
            <w:vAlign w:val="center"/>
          </w:tcPr>
          <w:p w14:paraId="13EA70D7">
            <w:pPr>
              <w:rPr>
                <w:rFonts w:ascii="仿宋_GB2312" w:eastAsia="仿宋_GB2312"/>
                <w:szCs w:val="28"/>
              </w:rPr>
            </w:pPr>
          </w:p>
        </w:tc>
      </w:tr>
      <w:tr w14:paraId="72D462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vMerge w:val="continue"/>
            <w:tcBorders>
              <w:top w:val="single" w:color="auto" w:sz="6" w:space="0"/>
              <w:left w:val="single" w:color="auto" w:sz="12" w:space="0"/>
              <w:bottom w:val="single" w:color="auto" w:sz="6" w:space="0"/>
              <w:right w:val="single" w:color="auto" w:sz="6" w:space="0"/>
            </w:tcBorders>
            <w:vAlign w:val="center"/>
          </w:tcPr>
          <w:p w14:paraId="04754D2E">
            <w:pPr>
              <w:rPr>
                <w:rFonts w:ascii="仿宋_GB2312" w:eastAsia="仿宋_GB2312"/>
                <w:b/>
                <w:bCs/>
                <w:szCs w:val="28"/>
              </w:rPr>
            </w:pPr>
          </w:p>
        </w:tc>
        <w:tc>
          <w:tcPr>
            <w:tcW w:w="1440" w:type="dxa"/>
            <w:tcBorders>
              <w:top w:val="single" w:color="auto" w:sz="6" w:space="0"/>
              <w:left w:val="single" w:color="auto" w:sz="6" w:space="0"/>
              <w:bottom w:val="single" w:color="auto" w:sz="6" w:space="0"/>
              <w:right w:val="single" w:color="auto" w:sz="6" w:space="0"/>
            </w:tcBorders>
            <w:vAlign w:val="center"/>
          </w:tcPr>
          <w:p w14:paraId="00FA9439">
            <w:pPr>
              <w:rPr>
                <w:rFonts w:ascii="仿宋_GB2312" w:eastAsia="仿宋_GB2312"/>
                <w:szCs w:val="28"/>
              </w:rPr>
            </w:pPr>
            <w:r>
              <w:rPr>
                <w:rFonts w:hint="eastAsia" w:ascii="仿宋_GB2312" w:eastAsia="仿宋_GB2312"/>
                <w:szCs w:val="28"/>
              </w:rPr>
              <w:t>产品全称</w:t>
            </w:r>
            <w:r>
              <w:rPr>
                <w:rStyle w:val="11"/>
                <w:rFonts w:ascii="仿宋_GB2312" w:eastAsia="仿宋_GB2312"/>
                <w:szCs w:val="28"/>
              </w:rPr>
              <w:footnoteReference w:id="6"/>
            </w:r>
          </w:p>
        </w:tc>
        <w:tc>
          <w:tcPr>
            <w:tcW w:w="5894" w:type="dxa"/>
            <w:tcBorders>
              <w:top w:val="single" w:color="auto" w:sz="6" w:space="0"/>
              <w:left w:val="single" w:color="auto" w:sz="6" w:space="0"/>
              <w:bottom w:val="single" w:color="auto" w:sz="6" w:space="0"/>
              <w:right w:val="single" w:color="auto" w:sz="12" w:space="0"/>
            </w:tcBorders>
            <w:vAlign w:val="center"/>
          </w:tcPr>
          <w:p w14:paraId="2D3FD41C">
            <w:pPr>
              <w:rPr>
                <w:rFonts w:ascii="仿宋_GB2312" w:eastAsia="仿宋_GB2312"/>
                <w:szCs w:val="28"/>
              </w:rPr>
            </w:pPr>
          </w:p>
        </w:tc>
      </w:tr>
      <w:tr w14:paraId="0E2664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vMerge w:val="continue"/>
            <w:tcBorders>
              <w:top w:val="single" w:color="auto" w:sz="6" w:space="0"/>
              <w:left w:val="single" w:color="auto" w:sz="12" w:space="0"/>
              <w:bottom w:val="single" w:color="auto" w:sz="6" w:space="0"/>
              <w:right w:val="single" w:color="auto" w:sz="6" w:space="0"/>
            </w:tcBorders>
            <w:vAlign w:val="center"/>
          </w:tcPr>
          <w:p w14:paraId="7B82F604">
            <w:pPr>
              <w:rPr>
                <w:rFonts w:ascii="仿宋_GB2312" w:eastAsia="仿宋_GB2312"/>
                <w:b/>
                <w:bCs/>
                <w:szCs w:val="28"/>
              </w:rPr>
            </w:pPr>
          </w:p>
        </w:tc>
        <w:tc>
          <w:tcPr>
            <w:tcW w:w="1440" w:type="dxa"/>
            <w:tcBorders>
              <w:top w:val="single" w:color="auto" w:sz="6" w:space="0"/>
              <w:left w:val="single" w:color="auto" w:sz="6" w:space="0"/>
              <w:bottom w:val="single" w:color="auto" w:sz="6" w:space="0"/>
              <w:right w:val="single" w:color="auto" w:sz="6" w:space="0"/>
            </w:tcBorders>
            <w:vAlign w:val="center"/>
          </w:tcPr>
          <w:p w14:paraId="220E3E0B">
            <w:pPr>
              <w:rPr>
                <w:rFonts w:ascii="仿宋_GB2312" w:eastAsia="仿宋_GB2312"/>
                <w:szCs w:val="28"/>
              </w:rPr>
            </w:pPr>
            <w:r>
              <w:rPr>
                <w:rFonts w:hint="eastAsia" w:ascii="仿宋_GB2312" w:eastAsia="仿宋_GB2312"/>
                <w:szCs w:val="28"/>
              </w:rPr>
              <w:t>产品简称</w:t>
            </w:r>
            <w:r>
              <w:rPr>
                <w:rStyle w:val="11"/>
                <w:rFonts w:ascii="仿宋_GB2312" w:eastAsia="仿宋_GB2312"/>
                <w:szCs w:val="28"/>
              </w:rPr>
              <w:footnoteReference w:id="7" w:customMarkFollows="1"/>
              <w:t>2</w:t>
            </w:r>
          </w:p>
        </w:tc>
        <w:tc>
          <w:tcPr>
            <w:tcW w:w="5894" w:type="dxa"/>
            <w:tcBorders>
              <w:top w:val="single" w:color="auto" w:sz="6" w:space="0"/>
              <w:left w:val="single" w:color="auto" w:sz="6" w:space="0"/>
              <w:bottom w:val="single" w:color="auto" w:sz="6" w:space="0"/>
              <w:right w:val="single" w:color="auto" w:sz="12" w:space="0"/>
            </w:tcBorders>
            <w:vAlign w:val="center"/>
          </w:tcPr>
          <w:p w14:paraId="05C10A20">
            <w:pPr>
              <w:rPr>
                <w:rFonts w:ascii="仿宋_GB2312" w:eastAsia="仿宋_GB2312"/>
                <w:szCs w:val="28"/>
              </w:rPr>
            </w:pPr>
          </w:p>
        </w:tc>
      </w:tr>
      <w:tr w14:paraId="5DF69A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vMerge w:val="continue"/>
            <w:tcBorders>
              <w:top w:val="single" w:color="auto" w:sz="6" w:space="0"/>
              <w:left w:val="single" w:color="auto" w:sz="12" w:space="0"/>
              <w:bottom w:val="single" w:color="auto" w:sz="6" w:space="0"/>
              <w:right w:val="single" w:color="auto" w:sz="6" w:space="0"/>
            </w:tcBorders>
            <w:vAlign w:val="center"/>
          </w:tcPr>
          <w:p w14:paraId="12126B35">
            <w:pPr>
              <w:rPr>
                <w:rFonts w:ascii="仿宋_GB2312" w:eastAsia="仿宋_GB2312"/>
                <w:b/>
                <w:bCs/>
                <w:szCs w:val="28"/>
              </w:rPr>
            </w:pPr>
          </w:p>
        </w:tc>
        <w:tc>
          <w:tcPr>
            <w:tcW w:w="1440" w:type="dxa"/>
            <w:tcBorders>
              <w:top w:val="single" w:color="auto" w:sz="6" w:space="0"/>
              <w:left w:val="single" w:color="auto" w:sz="6" w:space="0"/>
              <w:bottom w:val="single" w:color="auto" w:sz="6" w:space="0"/>
              <w:right w:val="single" w:color="auto" w:sz="6" w:space="0"/>
            </w:tcBorders>
            <w:vAlign w:val="center"/>
          </w:tcPr>
          <w:p w14:paraId="527832D6">
            <w:pPr>
              <w:rPr>
                <w:rFonts w:ascii="仿宋_GB2312" w:eastAsia="仿宋_GB2312"/>
                <w:szCs w:val="28"/>
              </w:rPr>
            </w:pPr>
            <w:r>
              <w:rPr>
                <w:rFonts w:hint="eastAsia" w:ascii="仿宋_GB2312" w:eastAsia="仿宋_GB2312"/>
                <w:szCs w:val="28"/>
              </w:rPr>
              <w:t>登记托管账户全称</w:t>
            </w:r>
          </w:p>
        </w:tc>
        <w:tc>
          <w:tcPr>
            <w:tcW w:w="5894" w:type="dxa"/>
            <w:tcBorders>
              <w:top w:val="single" w:color="auto" w:sz="6" w:space="0"/>
              <w:left w:val="single" w:color="auto" w:sz="6" w:space="0"/>
              <w:bottom w:val="single" w:color="auto" w:sz="6" w:space="0"/>
              <w:right w:val="single" w:color="auto" w:sz="12" w:space="0"/>
            </w:tcBorders>
            <w:vAlign w:val="center"/>
          </w:tcPr>
          <w:p w14:paraId="175038E6">
            <w:pPr>
              <w:rPr>
                <w:rFonts w:ascii="仿宋_GB2312" w:eastAsia="仿宋_GB2312"/>
                <w:szCs w:val="28"/>
              </w:rPr>
            </w:pPr>
          </w:p>
        </w:tc>
      </w:tr>
      <w:tr w14:paraId="037C4D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vMerge w:val="continue"/>
            <w:tcBorders>
              <w:top w:val="single" w:color="auto" w:sz="6" w:space="0"/>
              <w:left w:val="single" w:color="auto" w:sz="12" w:space="0"/>
              <w:bottom w:val="single" w:color="auto" w:sz="6" w:space="0"/>
              <w:right w:val="single" w:color="auto" w:sz="6" w:space="0"/>
            </w:tcBorders>
            <w:vAlign w:val="center"/>
          </w:tcPr>
          <w:p w14:paraId="74D8178D">
            <w:pPr>
              <w:rPr>
                <w:rFonts w:ascii="仿宋_GB2312" w:eastAsia="仿宋_GB2312"/>
                <w:b/>
                <w:bCs/>
                <w:szCs w:val="28"/>
              </w:rPr>
            </w:pPr>
          </w:p>
        </w:tc>
        <w:tc>
          <w:tcPr>
            <w:tcW w:w="1440" w:type="dxa"/>
            <w:tcBorders>
              <w:top w:val="single" w:color="auto" w:sz="6" w:space="0"/>
              <w:left w:val="single" w:color="auto" w:sz="6" w:space="0"/>
              <w:bottom w:val="single" w:color="auto" w:sz="6" w:space="0"/>
              <w:right w:val="single" w:color="auto" w:sz="6" w:space="0"/>
            </w:tcBorders>
            <w:vAlign w:val="center"/>
          </w:tcPr>
          <w:p w14:paraId="1DA062CE">
            <w:pPr>
              <w:rPr>
                <w:rFonts w:ascii="仿宋_GB2312" w:eastAsia="仿宋_GB2312"/>
                <w:szCs w:val="28"/>
              </w:rPr>
            </w:pPr>
            <w:r>
              <w:rPr>
                <w:rFonts w:hint="eastAsia" w:ascii="仿宋_GB2312" w:eastAsia="仿宋_GB2312"/>
                <w:szCs w:val="28"/>
              </w:rPr>
              <w:t>登记托管</w:t>
            </w:r>
          </w:p>
          <w:p w14:paraId="461659BD">
            <w:pPr>
              <w:rPr>
                <w:rFonts w:ascii="仿宋_GB2312" w:eastAsia="仿宋_GB2312"/>
                <w:szCs w:val="28"/>
              </w:rPr>
            </w:pPr>
            <w:r>
              <w:rPr>
                <w:rFonts w:hint="eastAsia" w:ascii="仿宋_GB2312" w:eastAsia="仿宋_GB2312"/>
                <w:szCs w:val="28"/>
              </w:rPr>
              <w:t>账号</w:t>
            </w:r>
          </w:p>
        </w:tc>
        <w:tc>
          <w:tcPr>
            <w:tcW w:w="5894" w:type="dxa"/>
            <w:tcBorders>
              <w:top w:val="single" w:color="auto" w:sz="6" w:space="0"/>
              <w:left w:val="single" w:color="auto" w:sz="6" w:space="0"/>
              <w:bottom w:val="single" w:color="auto" w:sz="6" w:space="0"/>
              <w:right w:val="single" w:color="auto" w:sz="12" w:space="0"/>
            </w:tcBorders>
            <w:vAlign w:val="center"/>
          </w:tcPr>
          <w:p w14:paraId="4AB5A9D4">
            <w:pPr>
              <w:rPr>
                <w:rFonts w:ascii="仿宋_GB2312" w:eastAsia="仿宋_GB2312"/>
                <w:szCs w:val="28"/>
              </w:rPr>
            </w:pPr>
          </w:p>
        </w:tc>
      </w:tr>
      <w:tr w14:paraId="121D5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tcBorders>
              <w:top w:val="single" w:color="auto" w:sz="6" w:space="0"/>
              <w:left w:val="single" w:color="auto" w:sz="12" w:space="0"/>
              <w:bottom w:val="single" w:color="auto" w:sz="6" w:space="0"/>
              <w:right w:val="single" w:color="auto" w:sz="6" w:space="0"/>
            </w:tcBorders>
            <w:vAlign w:val="center"/>
          </w:tcPr>
          <w:p w14:paraId="7EF03710">
            <w:pPr>
              <w:rPr>
                <w:rFonts w:ascii="仿宋_GB2312" w:eastAsia="仿宋_GB2312"/>
                <w:b/>
                <w:szCs w:val="28"/>
              </w:rPr>
            </w:pPr>
            <w:r>
              <w:rPr>
                <w:rFonts w:hint="eastAsia" w:ascii="仿宋_GB2312" w:eastAsia="仿宋_GB2312"/>
                <w:b/>
                <w:szCs w:val="28"/>
              </w:rPr>
              <w:t>受让底价</w:t>
            </w:r>
          </w:p>
          <w:p w14:paraId="7521B876">
            <w:pPr>
              <w:rPr>
                <w:rFonts w:ascii="仿宋_GB2312" w:eastAsia="仿宋_GB2312"/>
                <w:b/>
                <w:bCs/>
                <w:szCs w:val="28"/>
              </w:rPr>
            </w:pPr>
            <w:r>
              <w:rPr>
                <w:rFonts w:hint="eastAsia" w:ascii="仿宋_GB2312" w:eastAsia="仿宋_GB2312"/>
                <w:b/>
                <w:szCs w:val="28"/>
              </w:rPr>
              <w:t>（万元）</w:t>
            </w:r>
          </w:p>
        </w:tc>
        <w:tc>
          <w:tcPr>
            <w:tcW w:w="7334" w:type="dxa"/>
            <w:gridSpan w:val="2"/>
            <w:tcBorders>
              <w:top w:val="single" w:color="auto" w:sz="6" w:space="0"/>
              <w:left w:val="single" w:color="auto" w:sz="6" w:space="0"/>
              <w:bottom w:val="single" w:color="auto" w:sz="6" w:space="0"/>
              <w:right w:val="single" w:color="auto" w:sz="12" w:space="0"/>
            </w:tcBorders>
            <w:vAlign w:val="center"/>
          </w:tcPr>
          <w:p w14:paraId="453DB717">
            <w:pPr>
              <w:rPr>
                <w:rFonts w:ascii="仿宋_GB2312" w:eastAsia="仿宋_GB2312"/>
                <w:szCs w:val="28"/>
              </w:rPr>
            </w:pPr>
          </w:p>
        </w:tc>
      </w:tr>
      <w:tr w14:paraId="57D157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440" w:type="dxa"/>
            <w:tcBorders>
              <w:top w:val="single" w:color="auto" w:sz="6" w:space="0"/>
              <w:left w:val="single" w:color="auto" w:sz="12" w:space="0"/>
              <w:bottom w:val="single" w:color="auto" w:sz="12" w:space="0"/>
              <w:right w:val="single" w:color="auto" w:sz="6" w:space="0"/>
            </w:tcBorders>
            <w:vAlign w:val="center"/>
          </w:tcPr>
          <w:p w14:paraId="5D3A0D4A">
            <w:pPr>
              <w:rPr>
                <w:rFonts w:ascii="仿宋_GB2312" w:eastAsia="仿宋_GB2312"/>
                <w:szCs w:val="28"/>
              </w:rPr>
            </w:pPr>
            <w:r>
              <w:rPr>
                <w:rFonts w:hint="eastAsia" w:ascii="仿宋_GB2312" w:eastAsia="仿宋_GB2312"/>
                <w:b/>
                <w:bCs/>
                <w:szCs w:val="28"/>
              </w:rPr>
              <w:t>备  注</w:t>
            </w:r>
          </w:p>
        </w:tc>
        <w:tc>
          <w:tcPr>
            <w:tcW w:w="7334" w:type="dxa"/>
            <w:gridSpan w:val="2"/>
            <w:tcBorders>
              <w:top w:val="single" w:color="auto" w:sz="6" w:space="0"/>
              <w:left w:val="single" w:color="auto" w:sz="6" w:space="0"/>
              <w:bottom w:val="single" w:color="auto" w:sz="12" w:space="0"/>
              <w:right w:val="single" w:color="auto" w:sz="12" w:space="0"/>
            </w:tcBorders>
            <w:vAlign w:val="center"/>
          </w:tcPr>
          <w:p w14:paraId="53AEEEEB">
            <w:pPr>
              <w:rPr>
                <w:rFonts w:ascii="仿宋_GB2312" w:eastAsia="仿宋_GB2312"/>
                <w:szCs w:val="28"/>
              </w:rPr>
            </w:pPr>
          </w:p>
        </w:tc>
      </w:tr>
    </w:tbl>
    <w:p w14:paraId="639E99B3">
      <w:pPr>
        <w:rPr>
          <w:rFonts w:ascii="仿宋_GB2312" w:eastAsia="仿宋_GB2312" w:cs="Times New Roman"/>
          <w:sz w:val="30"/>
          <w:szCs w:val="30"/>
        </w:rPr>
      </w:pPr>
    </w:p>
    <w:p w14:paraId="43D08B7A">
      <w:pPr>
        <w:spacing w:line="360" w:lineRule="auto"/>
        <w:rPr>
          <w:rFonts w:ascii="仿宋_GB2312" w:eastAsia="仿宋_GB2312" w:cs="Times New Roman"/>
          <w:sz w:val="30"/>
          <w:szCs w:val="30"/>
        </w:rPr>
      </w:pPr>
    </w:p>
    <w:p w14:paraId="0444BE67">
      <w:pPr>
        <w:spacing w:line="360" w:lineRule="auto"/>
        <w:rPr>
          <w:rFonts w:ascii="仿宋_GB2312" w:eastAsia="仿宋_GB2312" w:cs="Times New Roman"/>
          <w:sz w:val="30"/>
          <w:szCs w:val="30"/>
        </w:rPr>
      </w:pPr>
      <w:r>
        <w:rPr>
          <w:rFonts w:hint="eastAsia" w:ascii="仿宋_GB2312" w:eastAsia="仿宋_GB2312" w:cs="Times New Roman"/>
          <w:sz w:val="30"/>
          <w:szCs w:val="30"/>
        </w:rPr>
        <w:t>附件</w:t>
      </w:r>
      <w:r>
        <w:rPr>
          <w:rFonts w:ascii="仿宋_GB2312" w:eastAsia="仿宋_GB2312" w:cs="Times New Roman"/>
          <w:sz w:val="30"/>
          <w:szCs w:val="30"/>
        </w:rPr>
        <w:t>4</w:t>
      </w:r>
      <w:r>
        <w:rPr>
          <w:rFonts w:hint="eastAsia" w:ascii="仿宋_GB2312" w:eastAsia="仿宋_GB2312" w:cs="Times New Roman"/>
          <w:sz w:val="30"/>
          <w:szCs w:val="30"/>
        </w:rPr>
        <w:t>：</w:t>
      </w:r>
    </w:p>
    <w:p w14:paraId="5A1EBD49">
      <w:pPr>
        <w:spacing w:line="360" w:lineRule="auto"/>
        <w:jc w:val="center"/>
        <w:rPr>
          <w:rFonts w:cs="Times New Roman" w:asciiTheme="majorEastAsia" w:hAnsiTheme="majorEastAsia" w:eastAsiaTheme="majorEastAsia"/>
          <w:b/>
          <w:sz w:val="36"/>
          <w:szCs w:val="30"/>
        </w:rPr>
      </w:pPr>
      <w:r>
        <w:rPr>
          <w:rFonts w:hint="eastAsia" w:cs="Times New Roman" w:asciiTheme="majorEastAsia" w:hAnsiTheme="majorEastAsia" w:eastAsiaTheme="majorEastAsia"/>
          <w:b/>
          <w:sz w:val="36"/>
          <w:szCs w:val="30"/>
        </w:rPr>
        <w:t>北京金融资产交易所</w:t>
      </w:r>
    </w:p>
    <w:p w14:paraId="6AA95131">
      <w:pPr>
        <w:spacing w:line="360" w:lineRule="auto"/>
        <w:jc w:val="center"/>
        <w:rPr>
          <w:rFonts w:cs="Times New Roman" w:asciiTheme="majorEastAsia" w:hAnsiTheme="majorEastAsia" w:eastAsiaTheme="majorEastAsia"/>
          <w:b/>
          <w:sz w:val="30"/>
          <w:szCs w:val="30"/>
        </w:rPr>
      </w:pPr>
      <w:r>
        <w:rPr>
          <w:rFonts w:hint="eastAsia" w:cs="Times New Roman" w:asciiTheme="majorEastAsia" w:hAnsiTheme="majorEastAsia" w:eastAsiaTheme="majorEastAsia"/>
          <w:b/>
          <w:sz w:val="36"/>
          <w:szCs w:val="30"/>
        </w:rPr>
        <w:t>到期违约债券转让业务风险知悉承诺函</w:t>
      </w:r>
    </w:p>
    <w:p w14:paraId="47C2F314">
      <w:pPr>
        <w:tabs>
          <w:tab w:val="left" w:pos="0"/>
        </w:tabs>
        <w:spacing w:line="360" w:lineRule="auto"/>
        <w:jc w:val="center"/>
        <w:rPr>
          <w:rFonts w:ascii="仿宋_GB2312" w:hAnsi="Calibri" w:eastAsia="仿宋_GB2312" w:cs="Times New Roman"/>
          <w:b/>
          <w:sz w:val="30"/>
          <w:szCs w:val="30"/>
        </w:rPr>
      </w:pPr>
    </w:p>
    <w:p w14:paraId="04A22430">
      <w:pPr>
        <w:spacing w:line="360" w:lineRule="auto"/>
        <w:rPr>
          <w:rFonts w:ascii="仿宋_GB2312" w:hAnsi="Calibri" w:eastAsia="仿宋_GB2312" w:cs="Times New Roman"/>
          <w:b/>
          <w:sz w:val="30"/>
          <w:szCs w:val="30"/>
        </w:rPr>
      </w:pPr>
      <w:r>
        <w:rPr>
          <w:rFonts w:hint="eastAsia" w:ascii="仿宋_GB2312" w:hAnsi="Calibri" w:eastAsia="仿宋_GB2312" w:cs="Times New Roman"/>
          <w:b/>
          <w:sz w:val="30"/>
          <w:szCs w:val="30"/>
        </w:rPr>
        <w:t>致：北京金融资产交易所有限公司</w:t>
      </w:r>
    </w:p>
    <w:p w14:paraId="1A214CCD">
      <w:pPr>
        <w:tabs>
          <w:tab w:val="left" w:pos="0"/>
        </w:tabs>
        <w:spacing w:line="360" w:lineRule="auto"/>
        <w:rPr>
          <w:rFonts w:ascii="仿宋_GB2312" w:hAnsi="Calibri" w:eastAsia="仿宋_GB2312" w:cs="Times New Roman"/>
          <w:b/>
          <w:sz w:val="30"/>
          <w:szCs w:val="30"/>
        </w:rPr>
      </w:pPr>
    </w:p>
    <w:p w14:paraId="3743F154">
      <w:pPr>
        <w:spacing w:line="360" w:lineRule="auto"/>
        <w:rPr>
          <w:rFonts w:ascii="仿宋_GB2312" w:hAnsi="Calibri" w:eastAsia="仿宋_GB2312" w:cs="Times New Roman"/>
          <w:b/>
          <w:sz w:val="30"/>
          <w:szCs w:val="30"/>
        </w:rPr>
      </w:pPr>
      <w:r>
        <w:rPr>
          <w:rFonts w:hint="eastAsia" w:ascii="仿宋_GB2312" w:hAnsi="Calibri" w:eastAsia="仿宋_GB2312" w:cs="Times New Roman"/>
          <w:b/>
          <w:sz w:val="30"/>
          <w:szCs w:val="30"/>
        </w:rPr>
        <w:t>鉴于：</w:t>
      </w:r>
    </w:p>
    <w:p w14:paraId="4BA94217">
      <w:pPr>
        <w:tabs>
          <w:tab w:val="left" w:pos="0"/>
        </w:tabs>
        <w:spacing w:line="360" w:lineRule="auto"/>
        <w:rPr>
          <w:rFonts w:ascii="仿宋_GB2312" w:hAnsi="Calibri" w:eastAsia="仿宋_GB2312" w:cs="Times New Roman"/>
          <w:b/>
          <w:sz w:val="30"/>
          <w:szCs w:val="30"/>
        </w:rPr>
      </w:pPr>
    </w:p>
    <w:p w14:paraId="5ACD0746">
      <w:pPr>
        <w:spacing w:line="360" w:lineRule="auto"/>
        <w:ind w:firstLine="600" w:firstLineChars="200"/>
        <w:rPr>
          <w:rFonts w:ascii="仿宋_GB2312" w:hAnsi="Calibri" w:eastAsia="仿宋_GB2312" w:cs="Times New Roman"/>
          <w:sz w:val="30"/>
          <w:szCs w:val="30"/>
        </w:rPr>
      </w:pPr>
      <w:r>
        <w:rPr>
          <w:rFonts w:hint="eastAsia" w:ascii="仿宋_GB2312" w:hAnsi="Calibri" w:eastAsia="仿宋_GB2312" w:cs="Times New Roman"/>
          <w:sz w:val="30"/>
          <w:szCs w:val="30"/>
        </w:rPr>
        <w:t>本方自愿参与北京金融资产交易所有限公司（以下简称“北金所”）到期违约债券转让业务，通过北金所参与公开转让方式从转让方受让标的债券转让，在充分阅读、理解本文本的基础上，本方自愿、郑重、诚实地做出本承诺：</w:t>
      </w:r>
    </w:p>
    <w:p w14:paraId="7DBB7AF7">
      <w:pPr>
        <w:tabs>
          <w:tab w:val="left" w:pos="0"/>
        </w:tabs>
        <w:spacing w:line="360" w:lineRule="auto"/>
        <w:rPr>
          <w:rFonts w:ascii="仿宋_GB2312" w:hAnsi="Calibri" w:eastAsia="仿宋_GB2312" w:cs="Times New Roman"/>
          <w:sz w:val="30"/>
          <w:szCs w:val="30"/>
        </w:rPr>
      </w:pPr>
    </w:p>
    <w:p w14:paraId="7A4F0CE0">
      <w:pPr>
        <w:autoSpaceDE w:val="0"/>
        <w:autoSpaceDN w:val="0"/>
        <w:adjustRightInd w:val="0"/>
        <w:spacing w:line="360" w:lineRule="auto"/>
        <w:ind w:firstLine="602" w:firstLineChars="200"/>
        <w:rPr>
          <w:rFonts w:ascii="仿宋_GB2312" w:hAnsi="Calibri" w:eastAsia="仿宋_GB2312" w:cs="Times New Roman"/>
          <w:b/>
          <w:sz w:val="30"/>
          <w:szCs w:val="30"/>
        </w:rPr>
      </w:pPr>
      <w:r>
        <w:rPr>
          <w:rFonts w:hint="eastAsia" w:ascii="仿宋_GB2312" w:hAnsi="Calibri" w:eastAsia="仿宋_GB2312" w:cs="Times New Roman"/>
          <w:b/>
          <w:bCs/>
          <w:sz w:val="30"/>
          <w:szCs w:val="30"/>
        </w:rPr>
        <w:t xml:space="preserve">第一条 </w:t>
      </w:r>
      <w:r>
        <w:rPr>
          <w:rFonts w:hint="eastAsia" w:ascii="仿宋_GB2312" w:hAnsi="Calibri" w:eastAsia="仿宋_GB2312" w:cs="Times New Roman"/>
          <w:b/>
          <w:sz w:val="30"/>
          <w:szCs w:val="30"/>
        </w:rPr>
        <w:t>受让方的陈述和声明</w:t>
      </w:r>
    </w:p>
    <w:p w14:paraId="24B0A0E2">
      <w:pPr>
        <w:autoSpaceDE w:val="0"/>
        <w:autoSpaceDN w:val="0"/>
        <w:adjustRightInd w:val="0"/>
        <w:spacing w:line="360" w:lineRule="auto"/>
        <w:ind w:firstLine="600" w:firstLineChars="200"/>
        <w:rPr>
          <w:rFonts w:ascii="仿宋_GB2312" w:hAnsi="Calibri" w:eastAsia="仿宋_GB2312" w:cs="Times New Roman"/>
          <w:sz w:val="30"/>
          <w:szCs w:val="30"/>
        </w:rPr>
      </w:pPr>
      <w:r>
        <w:rPr>
          <w:rFonts w:hint="eastAsia" w:ascii="仿宋_GB2312" w:hAnsi="Calibri" w:eastAsia="仿宋_GB2312" w:cs="Times New Roman"/>
          <w:sz w:val="30"/>
          <w:szCs w:val="30"/>
        </w:rPr>
        <w:t>本方做出如下陈述和保证，下述各项陈述和保证在本承诺书出具之日均为真实和准确的，且将在标的债券公开转让当日及之后亦为真实和准确的：</w:t>
      </w:r>
    </w:p>
    <w:p w14:paraId="32555B31">
      <w:pPr>
        <w:autoSpaceDE w:val="0"/>
        <w:autoSpaceDN w:val="0"/>
        <w:adjustRightInd w:val="0"/>
        <w:spacing w:line="360" w:lineRule="auto"/>
        <w:ind w:firstLine="602" w:firstLineChars="200"/>
        <w:rPr>
          <w:rFonts w:ascii="仿宋_GB2312" w:hAnsi="Calibri" w:eastAsia="仿宋_GB2312" w:cs="Times New Roman"/>
          <w:b/>
          <w:bCs/>
          <w:sz w:val="30"/>
          <w:szCs w:val="30"/>
        </w:rPr>
      </w:pPr>
      <w:r>
        <w:rPr>
          <w:rFonts w:hint="eastAsia" w:ascii="仿宋_GB2312" w:hAnsi="Calibri" w:eastAsia="仿宋_GB2312" w:cs="Times New Roman"/>
          <w:b/>
          <w:bCs/>
          <w:sz w:val="30"/>
          <w:szCs w:val="30"/>
        </w:rPr>
        <w:t>1.1 承诺内容</w:t>
      </w:r>
    </w:p>
    <w:p w14:paraId="36310F8F">
      <w:pPr>
        <w:autoSpaceDE w:val="0"/>
        <w:autoSpaceDN w:val="0"/>
        <w:adjustRightInd w:val="0"/>
        <w:spacing w:line="360" w:lineRule="auto"/>
        <w:ind w:firstLine="600" w:firstLineChars="200"/>
        <w:rPr>
          <w:rFonts w:ascii="仿宋_GB2312" w:hAnsi="Calibri" w:eastAsia="仿宋_GB2312" w:cs="Times New Roman"/>
          <w:bCs/>
          <w:sz w:val="30"/>
          <w:szCs w:val="30"/>
        </w:rPr>
      </w:pPr>
      <w:r>
        <w:rPr>
          <w:rFonts w:hint="eastAsia" w:ascii="仿宋_GB2312" w:hAnsi="Calibri" w:eastAsia="仿宋_GB2312" w:cs="Times New Roman"/>
          <w:bCs/>
          <w:sz w:val="30"/>
          <w:szCs w:val="30"/>
        </w:rPr>
        <w:t>（1）</w:t>
      </w:r>
      <w:r>
        <w:rPr>
          <w:rFonts w:hint="eastAsia" w:ascii="仿宋_GB2312" w:hAnsi="Calibri" w:eastAsia="仿宋_GB2312" w:cs="Times New Roman"/>
          <w:sz w:val="30"/>
          <w:szCs w:val="30"/>
        </w:rPr>
        <w:t>本</w:t>
      </w:r>
      <w:r>
        <w:rPr>
          <w:rFonts w:hint="eastAsia" w:ascii="仿宋_GB2312" w:hAnsi="Calibri" w:eastAsia="仿宋_GB2312" w:cs="Times New Roman"/>
          <w:bCs/>
          <w:sz w:val="30"/>
          <w:szCs w:val="30"/>
        </w:rPr>
        <w:t>方将严格按照相关法律、法规以及北金所有关业务规则参与到期违约债券处置业务，不从事欺诈、内幕交易、利益输送和市场操纵等违反法律法规、监管要求和影响债券市场交易秩序的行为；</w:t>
      </w:r>
    </w:p>
    <w:p w14:paraId="6FCAD958">
      <w:pPr>
        <w:autoSpaceDE w:val="0"/>
        <w:autoSpaceDN w:val="0"/>
        <w:adjustRightInd w:val="0"/>
        <w:spacing w:line="360" w:lineRule="auto"/>
        <w:ind w:firstLine="600" w:firstLineChars="200"/>
        <w:rPr>
          <w:rFonts w:ascii="仿宋_GB2312" w:hAnsi="Calibri" w:eastAsia="仿宋_GB2312" w:cs="Times New Roman"/>
          <w:bCs/>
          <w:sz w:val="30"/>
          <w:szCs w:val="30"/>
        </w:rPr>
      </w:pPr>
      <w:r>
        <w:rPr>
          <w:rFonts w:hint="eastAsia" w:ascii="仿宋_GB2312" w:hAnsi="Calibri" w:eastAsia="仿宋_GB2312" w:cs="Times New Roman"/>
          <w:bCs/>
          <w:sz w:val="30"/>
          <w:szCs w:val="30"/>
        </w:rPr>
        <w:t>（2）</w:t>
      </w:r>
      <w:r>
        <w:rPr>
          <w:rFonts w:hint="eastAsia" w:ascii="仿宋_GB2312" w:hAnsi="Calibri" w:eastAsia="仿宋_GB2312" w:cs="Times New Roman"/>
          <w:sz w:val="30"/>
          <w:szCs w:val="30"/>
        </w:rPr>
        <w:t>本</w:t>
      </w:r>
      <w:r>
        <w:rPr>
          <w:rFonts w:hint="eastAsia" w:ascii="仿宋_GB2312" w:hAnsi="Calibri" w:eastAsia="仿宋_GB2312" w:cs="Times New Roman"/>
          <w:bCs/>
          <w:sz w:val="30"/>
          <w:szCs w:val="30"/>
        </w:rPr>
        <w:t>方具备开展到期违约债券业务的内部风险管理机制和内部操作控制流程。</w:t>
      </w:r>
      <w:r>
        <w:rPr>
          <w:rFonts w:hint="eastAsia" w:ascii="仿宋_GB2312" w:hAnsi="Calibri" w:eastAsia="仿宋_GB2312" w:cs="Times New Roman"/>
          <w:sz w:val="30"/>
          <w:szCs w:val="30"/>
        </w:rPr>
        <w:t>本</w:t>
      </w:r>
      <w:r>
        <w:rPr>
          <w:rFonts w:hint="eastAsia" w:ascii="仿宋_GB2312" w:hAnsi="Calibri" w:eastAsia="仿宋_GB2312" w:cs="Times New Roman"/>
          <w:bCs/>
          <w:sz w:val="30"/>
          <w:szCs w:val="30"/>
        </w:rPr>
        <w:t>方参与到期违约债券处置业务的人员具备必要的专业能力，熟悉业务规则与交易操作。</w:t>
      </w:r>
    </w:p>
    <w:p w14:paraId="5C255B9D">
      <w:pPr>
        <w:autoSpaceDE w:val="0"/>
        <w:autoSpaceDN w:val="0"/>
        <w:adjustRightInd w:val="0"/>
        <w:spacing w:line="360" w:lineRule="auto"/>
        <w:ind w:firstLine="452" w:firstLineChars="150"/>
        <w:rPr>
          <w:rFonts w:ascii="仿宋_GB2312" w:hAnsi="Calibri" w:eastAsia="仿宋_GB2312" w:cs="Times New Roman"/>
          <w:b/>
          <w:sz w:val="30"/>
          <w:szCs w:val="30"/>
        </w:rPr>
      </w:pPr>
      <w:r>
        <w:rPr>
          <w:rFonts w:hint="eastAsia" w:ascii="仿宋_GB2312" w:hAnsi="Calibri" w:eastAsia="仿宋_GB2312" w:cs="Times New Roman"/>
          <w:b/>
          <w:bCs/>
          <w:sz w:val="30"/>
          <w:szCs w:val="30"/>
        </w:rPr>
        <w:t xml:space="preserve">1.2 </w:t>
      </w:r>
      <w:r>
        <w:rPr>
          <w:rFonts w:hint="eastAsia" w:ascii="仿宋_GB2312" w:hAnsi="Calibri" w:eastAsia="仿宋_GB2312" w:cs="Times New Roman"/>
          <w:b/>
          <w:sz w:val="30"/>
          <w:szCs w:val="30"/>
        </w:rPr>
        <w:t>风险知悉</w:t>
      </w:r>
    </w:p>
    <w:p w14:paraId="46F2C984">
      <w:pPr>
        <w:autoSpaceDE w:val="0"/>
        <w:autoSpaceDN w:val="0"/>
        <w:adjustRightInd w:val="0"/>
        <w:spacing w:line="360" w:lineRule="auto"/>
        <w:ind w:firstLine="450" w:firstLineChars="150"/>
        <w:rPr>
          <w:rFonts w:ascii="仿宋_GB2312" w:hAnsi="Calibri" w:eastAsia="仿宋_GB2312" w:cs="Times New Roman"/>
          <w:sz w:val="30"/>
          <w:szCs w:val="30"/>
        </w:rPr>
      </w:pPr>
      <w:r>
        <w:rPr>
          <w:rFonts w:hint="eastAsia" w:ascii="仿宋_GB2312" w:hAnsi="Calibri" w:eastAsia="仿宋_GB2312" w:cs="Times New Roman"/>
          <w:sz w:val="30"/>
          <w:szCs w:val="30"/>
        </w:rPr>
        <w:t>本方完全知悉并接受标的债券的所有风险。该等风险包括但不限于：</w:t>
      </w:r>
    </w:p>
    <w:p w14:paraId="69C3BAD9">
      <w:pPr>
        <w:tabs>
          <w:tab w:val="left" w:pos="1418"/>
        </w:tabs>
        <w:autoSpaceDE w:val="0"/>
        <w:autoSpaceDN w:val="0"/>
        <w:adjustRightInd w:val="0"/>
        <w:spacing w:line="360" w:lineRule="auto"/>
        <w:ind w:firstLine="600" w:firstLineChars="200"/>
        <w:rPr>
          <w:rFonts w:ascii="仿宋_GB2312" w:hAnsi="Calibri" w:eastAsia="仿宋_GB2312" w:cs="Times New Roman"/>
          <w:sz w:val="30"/>
          <w:szCs w:val="30"/>
        </w:rPr>
      </w:pPr>
      <w:r>
        <w:rPr>
          <w:rFonts w:hint="eastAsia" w:ascii="仿宋_GB2312" w:hAnsi="Calibri" w:eastAsia="仿宋_GB2312" w:cs="Times New Roman"/>
          <w:sz w:val="30"/>
          <w:szCs w:val="30"/>
        </w:rPr>
        <w:t>（1）标的债券为到期违约债券，存在着部分或全部不能回收的风险特性以及清收的困难性；</w:t>
      </w:r>
    </w:p>
    <w:p w14:paraId="54AE9746">
      <w:pPr>
        <w:tabs>
          <w:tab w:val="left" w:pos="1418"/>
        </w:tabs>
        <w:autoSpaceDE w:val="0"/>
        <w:autoSpaceDN w:val="0"/>
        <w:adjustRightInd w:val="0"/>
        <w:spacing w:line="360" w:lineRule="auto"/>
        <w:ind w:firstLine="600" w:firstLineChars="200"/>
        <w:rPr>
          <w:rFonts w:ascii="仿宋_GB2312" w:hAnsi="Calibri" w:eastAsia="仿宋_GB2312" w:cs="Times New Roman"/>
          <w:sz w:val="30"/>
          <w:szCs w:val="30"/>
        </w:rPr>
      </w:pPr>
      <w:r>
        <w:rPr>
          <w:rFonts w:hint="eastAsia" w:ascii="仿宋_GB2312" w:hAnsi="Calibri" w:eastAsia="仿宋_GB2312" w:cs="Times New Roman"/>
          <w:sz w:val="30"/>
          <w:szCs w:val="30"/>
        </w:rPr>
        <w:t>（2）标的债券发行人可能存在破产、被解散、被注销、被撤销、被关闭、被吊销、歇业、下落不明以及其他主体存续性风险的情形。</w:t>
      </w:r>
    </w:p>
    <w:p w14:paraId="2037355C">
      <w:pPr>
        <w:autoSpaceDE w:val="0"/>
        <w:autoSpaceDN w:val="0"/>
        <w:adjustRightInd w:val="0"/>
        <w:spacing w:line="360" w:lineRule="auto"/>
        <w:ind w:firstLine="602" w:firstLineChars="200"/>
        <w:rPr>
          <w:rFonts w:ascii="仿宋_GB2312" w:hAnsi="Calibri" w:eastAsia="仿宋_GB2312" w:cs="Times New Roman"/>
          <w:sz w:val="30"/>
          <w:szCs w:val="30"/>
        </w:rPr>
      </w:pPr>
      <w:r>
        <w:rPr>
          <w:rFonts w:hint="eastAsia" w:ascii="仿宋_GB2312" w:hAnsi="Calibri" w:eastAsia="仿宋_GB2312" w:cs="Times New Roman"/>
          <w:b/>
          <w:bCs/>
          <w:sz w:val="30"/>
          <w:szCs w:val="30"/>
        </w:rPr>
        <w:t xml:space="preserve">第二条 </w:t>
      </w:r>
      <w:r>
        <w:rPr>
          <w:rFonts w:hint="eastAsia" w:ascii="仿宋_GB2312" w:hAnsi="Calibri" w:eastAsia="仿宋_GB2312" w:cs="Times New Roman"/>
          <w:b/>
          <w:sz w:val="30"/>
          <w:szCs w:val="30"/>
        </w:rPr>
        <w:t>受让方业务承诺</w:t>
      </w:r>
    </w:p>
    <w:p w14:paraId="50894305">
      <w:pPr>
        <w:autoSpaceDE w:val="0"/>
        <w:autoSpaceDN w:val="0"/>
        <w:adjustRightInd w:val="0"/>
        <w:spacing w:line="360" w:lineRule="auto"/>
        <w:ind w:firstLine="602" w:firstLineChars="200"/>
        <w:rPr>
          <w:rFonts w:ascii="仿宋_GB2312" w:hAnsi="Calibri" w:eastAsia="仿宋_GB2312" w:cs="Times New Roman"/>
          <w:b/>
          <w:sz w:val="30"/>
          <w:szCs w:val="30"/>
        </w:rPr>
      </w:pPr>
      <w:r>
        <w:rPr>
          <w:rFonts w:hint="eastAsia" w:ascii="仿宋_GB2312" w:hAnsi="Calibri" w:eastAsia="仿宋_GB2312" w:cs="Times New Roman"/>
          <w:b/>
          <w:bCs/>
          <w:sz w:val="30"/>
          <w:szCs w:val="30"/>
        </w:rPr>
        <w:t xml:space="preserve">2.1 </w:t>
      </w:r>
      <w:r>
        <w:rPr>
          <w:rFonts w:hint="eastAsia" w:ascii="仿宋_GB2312" w:hAnsi="Calibri" w:eastAsia="仿宋_GB2312" w:cs="Times New Roman"/>
          <w:b/>
          <w:sz w:val="30"/>
          <w:szCs w:val="30"/>
        </w:rPr>
        <w:t>依法参加转让</w:t>
      </w:r>
    </w:p>
    <w:p w14:paraId="3878697B">
      <w:pPr>
        <w:snapToGrid w:val="0"/>
        <w:spacing w:line="360" w:lineRule="auto"/>
        <w:ind w:firstLine="600" w:firstLineChars="200"/>
        <w:rPr>
          <w:rFonts w:ascii="仿宋_GB2312" w:hAnsi="Calibri" w:eastAsia="仿宋_GB2312" w:cs="Times New Roman"/>
          <w:sz w:val="30"/>
          <w:szCs w:val="30"/>
        </w:rPr>
      </w:pPr>
      <w:r>
        <w:rPr>
          <w:rFonts w:hint="eastAsia" w:ascii="仿宋_GB2312" w:hAnsi="Calibri" w:eastAsia="仿宋_GB2312" w:cs="Times New Roman"/>
          <w:sz w:val="30"/>
          <w:szCs w:val="30"/>
        </w:rPr>
        <w:t>本方愿意按照北金所场内业务规则与程序参加转让，及时提交受让申请，提供《北京金融资产交易所到期违约债券受让申请书》等资料清单并缴纳保证金。</w:t>
      </w:r>
    </w:p>
    <w:p w14:paraId="3BA9EEE3">
      <w:pPr>
        <w:snapToGrid w:val="0"/>
        <w:spacing w:line="360" w:lineRule="auto"/>
        <w:ind w:firstLine="600" w:firstLineChars="200"/>
        <w:rPr>
          <w:rFonts w:ascii="仿宋_GB2312" w:hAnsi="Calibri" w:eastAsia="仿宋_GB2312" w:cs="Times New Roman"/>
          <w:sz w:val="30"/>
          <w:szCs w:val="30"/>
        </w:rPr>
      </w:pPr>
      <w:r>
        <w:rPr>
          <w:rFonts w:hint="eastAsia" w:ascii="仿宋_GB2312" w:hAnsi="Calibri" w:eastAsia="仿宋_GB2312" w:cs="Times New Roman"/>
          <w:sz w:val="30"/>
          <w:szCs w:val="30"/>
        </w:rPr>
        <w:t>本方承诺不属于标的债券发行管理机构、参与标的债券处置的相关机构以及对标的债券发行管理机构、参与标的债券处置的相关机构有控制、共同控制或重大影响的关联方。</w:t>
      </w:r>
    </w:p>
    <w:p w14:paraId="33A27E53">
      <w:pPr>
        <w:snapToGrid w:val="0"/>
        <w:spacing w:line="360" w:lineRule="auto"/>
        <w:ind w:firstLine="600" w:firstLineChars="200"/>
        <w:rPr>
          <w:rFonts w:ascii="仿宋_GB2312" w:hAnsi="Calibri" w:eastAsia="仿宋_GB2312" w:cs="Times New Roman"/>
          <w:sz w:val="30"/>
          <w:szCs w:val="30"/>
        </w:rPr>
      </w:pPr>
      <w:r>
        <w:rPr>
          <w:rFonts w:hint="eastAsia" w:ascii="仿宋_GB2312" w:hAnsi="Calibri" w:eastAsia="仿宋_GB2312" w:cs="Times New Roman"/>
          <w:sz w:val="30"/>
          <w:szCs w:val="30"/>
        </w:rPr>
        <w:t>本方承诺在转让过程中不存在逃废债、利益输送、关联交易、投资者歧视等行为，亦不存在其他违反监管政策的行为。</w:t>
      </w:r>
    </w:p>
    <w:p w14:paraId="5C99620B">
      <w:pPr>
        <w:spacing w:line="360" w:lineRule="auto"/>
        <w:ind w:firstLine="602" w:firstLineChars="200"/>
        <w:rPr>
          <w:rFonts w:ascii="仿宋_GB2312" w:hAnsi="Calibri" w:eastAsia="仿宋_GB2312" w:cs="Times New Roman"/>
          <w:b/>
          <w:bCs/>
          <w:sz w:val="30"/>
          <w:szCs w:val="30"/>
        </w:rPr>
      </w:pPr>
      <w:r>
        <w:rPr>
          <w:rFonts w:hint="eastAsia" w:ascii="仿宋_GB2312" w:hAnsi="Calibri" w:eastAsia="仿宋_GB2312" w:cs="Times New Roman"/>
          <w:b/>
          <w:bCs/>
          <w:sz w:val="30"/>
          <w:szCs w:val="30"/>
        </w:rPr>
        <w:t xml:space="preserve">2.2 未履行义务时放弃相关权利 </w:t>
      </w:r>
    </w:p>
    <w:p w14:paraId="33A19EFC">
      <w:pPr>
        <w:spacing w:line="360" w:lineRule="auto"/>
        <w:ind w:firstLine="600" w:firstLineChars="200"/>
        <w:rPr>
          <w:rFonts w:ascii="仿宋_GB2312" w:hAnsi="Calibri" w:eastAsia="仿宋_GB2312" w:cs="Times New Roman"/>
          <w:b/>
          <w:bCs/>
          <w:sz w:val="30"/>
          <w:szCs w:val="30"/>
        </w:rPr>
      </w:pPr>
      <w:r>
        <w:rPr>
          <w:rFonts w:hint="eastAsia" w:ascii="仿宋_GB2312" w:hAnsi="Calibri" w:eastAsia="仿宋_GB2312" w:cs="Times New Roman"/>
          <w:sz w:val="30"/>
          <w:szCs w:val="30"/>
        </w:rPr>
        <w:t>若本方成为受让方而未及时完成券款对付（DVP）结算，转让方有权自违约之日起委托北金所再次组织转让活动，继续公开转让本方未按约定受让的相关标的债券，若因中介平台、银行系统问题等第三方不可抗拒因素导致未完成DVP结算，可由相关各方协商解决。</w:t>
      </w:r>
    </w:p>
    <w:p w14:paraId="2EAAE4A1">
      <w:pPr>
        <w:spacing w:line="360" w:lineRule="auto"/>
        <w:ind w:firstLine="602" w:firstLineChars="200"/>
        <w:rPr>
          <w:rFonts w:ascii="仿宋_GB2312" w:hAnsi="Calibri" w:eastAsia="仿宋_GB2312" w:cs="Times New Roman"/>
          <w:b/>
          <w:bCs/>
          <w:sz w:val="30"/>
          <w:szCs w:val="30"/>
        </w:rPr>
      </w:pPr>
      <w:r>
        <w:rPr>
          <w:rFonts w:hint="eastAsia" w:ascii="仿宋_GB2312" w:hAnsi="Calibri" w:eastAsia="仿宋_GB2312" w:cs="Times New Roman"/>
          <w:b/>
          <w:bCs/>
          <w:sz w:val="30"/>
          <w:szCs w:val="30"/>
        </w:rPr>
        <w:t>2.3 风险概括承受</w:t>
      </w:r>
    </w:p>
    <w:p w14:paraId="6FE462AC">
      <w:pPr>
        <w:spacing w:line="360" w:lineRule="auto"/>
        <w:ind w:firstLine="600" w:firstLineChars="200"/>
        <w:rPr>
          <w:rFonts w:ascii="仿宋_GB2312" w:hAnsi="Calibri" w:eastAsia="仿宋_GB2312" w:cs="Times New Roman"/>
          <w:sz w:val="30"/>
          <w:szCs w:val="30"/>
        </w:rPr>
      </w:pPr>
      <w:r>
        <w:rPr>
          <w:rFonts w:hint="eastAsia" w:ascii="仿宋_GB2312" w:hAnsi="Calibri" w:eastAsia="仿宋_GB2312" w:cs="Times New Roman"/>
          <w:sz w:val="30"/>
          <w:szCs w:val="30"/>
        </w:rPr>
        <w:t>本方承诺，一旦转让成功，本方将按照约定受让标的债券，接受标的债券的风险，不因标的债券的风险，而请求转让方和北金所承担相应责任，或以此作为受让方履行约定或法定义务的抗辩。</w:t>
      </w:r>
    </w:p>
    <w:p w14:paraId="1EF159EE">
      <w:pPr>
        <w:autoSpaceDE w:val="0"/>
        <w:autoSpaceDN w:val="0"/>
        <w:adjustRightInd w:val="0"/>
        <w:spacing w:line="360" w:lineRule="auto"/>
        <w:ind w:firstLine="602" w:firstLineChars="200"/>
        <w:rPr>
          <w:rFonts w:ascii="仿宋_GB2312" w:hAnsi="Calibri" w:eastAsia="仿宋_GB2312" w:cs="Times New Roman"/>
          <w:b/>
          <w:sz w:val="30"/>
          <w:szCs w:val="30"/>
          <w:u w:val="single"/>
        </w:rPr>
      </w:pPr>
      <w:r>
        <w:rPr>
          <w:rFonts w:hint="eastAsia" w:ascii="仿宋_GB2312" w:hAnsi="Calibri" w:eastAsia="仿宋_GB2312" w:cs="Times New Roman"/>
          <w:b/>
          <w:bCs/>
          <w:sz w:val="30"/>
          <w:szCs w:val="30"/>
        </w:rPr>
        <w:t>第三条</w:t>
      </w:r>
      <w:r>
        <w:rPr>
          <w:rFonts w:hint="eastAsia" w:ascii="仿宋_GB2312" w:hAnsi="Calibri" w:eastAsia="仿宋_GB2312" w:cs="Times New Roman"/>
          <w:b/>
          <w:sz w:val="30"/>
          <w:szCs w:val="30"/>
        </w:rPr>
        <w:t xml:space="preserve"> 保证金</w:t>
      </w:r>
    </w:p>
    <w:p w14:paraId="44A4370B">
      <w:pPr>
        <w:autoSpaceDE w:val="0"/>
        <w:autoSpaceDN w:val="0"/>
        <w:adjustRightInd w:val="0"/>
        <w:spacing w:line="360" w:lineRule="auto"/>
        <w:ind w:firstLine="602" w:firstLineChars="200"/>
        <w:rPr>
          <w:rFonts w:ascii="仿宋_GB2312" w:hAnsi="Calibri" w:eastAsia="仿宋_GB2312" w:cs="Times New Roman"/>
          <w:sz w:val="30"/>
          <w:szCs w:val="30"/>
        </w:rPr>
      </w:pPr>
      <w:r>
        <w:rPr>
          <w:rFonts w:hint="eastAsia" w:ascii="仿宋_GB2312" w:hAnsi="Calibri" w:eastAsia="仿宋_GB2312" w:cs="Times New Roman"/>
          <w:b/>
          <w:sz w:val="30"/>
          <w:szCs w:val="30"/>
        </w:rPr>
        <w:t xml:space="preserve">3.1 </w:t>
      </w:r>
      <w:r>
        <w:rPr>
          <w:rFonts w:hint="eastAsia" w:ascii="仿宋_GB2312" w:hAnsi="Calibri" w:eastAsia="仿宋_GB2312" w:cs="Times New Roman"/>
          <w:sz w:val="30"/>
          <w:szCs w:val="30"/>
        </w:rPr>
        <w:t>受让方承诺按照北金所到期违约债券转让业务规则缴纳保证金。</w:t>
      </w:r>
    </w:p>
    <w:p w14:paraId="49E55E3A">
      <w:pPr>
        <w:spacing w:line="360" w:lineRule="auto"/>
        <w:ind w:left="161" w:leftChars="67" w:firstLine="452" w:firstLineChars="150"/>
        <w:rPr>
          <w:rFonts w:ascii="仿宋_GB2312" w:hAnsi="Calibri" w:eastAsia="仿宋_GB2312" w:cs="Times New Roman"/>
          <w:sz w:val="30"/>
          <w:szCs w:val="30"/>
        </w:rPr>
      </w:pPr>
      <w:r>
        <w:rPr>
          <w:rFonts w:hint="eastAsia" w:ascii="仿宋_GB2312" w:hAnsi="Calibri" w:eastAsia="仿宋_GB2312" w:cs="Times New Roman"/>
          <w:b/>
          <w:sz w:val="30"/>
          <w:szCs w:val="30"/>
        </w:rPr>
        <w:t xml:space="preserve">3.2 </w:t>
      </w:r>
      <w:r>
        <w:rPr>
          <w:rFonts w:hint="eastAsia" w:ascii="仿宋_GB2312" w:hAnsi="Calibri" w:eastAsia="仿宋_GB2312" w:cs="Times New Roman"/>
          <w:sz w:val="30"/>
          <w:szCs w:val="30"/>
        </w:rPr>
        <w:t>受让方承诺，在</w:t>
      </w:r>
      <w:r>
        <w:rPr>
          <w:rFonts w:hint="eastAsia" w:ascii="仿宋_GB2312" w:eastAsia="仿宋_GB2312"/>
          <w:sz w:val="30"/>
          <w:szCs w:val="30"/>
        </w:rPr>
        <w:t>转让公示期前几个工作日每日16:00前或不晚于公示期最后一个工作日15:00前</w:t>
      </w:r>
      <w:r>
        <w:rPr>
          <w:rFonts w:hint="eastAsia" w:ascii="仿宋_GB2312" w:hAnsi="Calibri" w:eastAsia="仿宋_GB2312" w:cs="Times New Roman"/>
          <w:sz w:val="30"/>
          <w:szCs w:val="30"/>
        </w:rPr>
        <w:t>（以该等款项实际到达登记结算机构指定账户的时间为准）一次性缴付该等转让保证金，出现以下任何一种情况时，受让方同意将本方缴纳的保证金作为违约金支付给转让方：</w:t>
      </w:r>
    </w:p>
    <w:p w14:paraId="282593EC">
      <w:pPr>
        <w:autoSpaceDE w:val="0"/>
        <w:autoSpaceDN w:val="0"/>
        <w:adjustRightInd w:val="0"/>
        <w:spacing w:line="360" w:lineRule="auto"/>
        <w:ind w:firstLine="600" w:firstLineChars="200"/>
        <w:rPr>
          <w:rFonts w:ascii="仿宋_GB2312" w:hAnsi="Calibri" w:eastAsia="仿宋_GB2312" w:cs="Times New Roman"/>
          <w:sz w:val="30"/>
          <w:szCs w:val="30"/>
        </w:rPr>
      </w:pPr>
      <w:r>
        <w:rPr>
          <w:rFonts w:hint="eastAsia" w:ascii="仿宋_GB2312" w:eastAsia="仿宋_GB2312"/>
          <w:sz w:val="30"/>
          <w:szCs w:val="30"/>
        </w:rPr>
        <w:t>（1）</w:t>
      </w:r>
      <w:r>
        <w:rPr>
          <w:rFonts w:hint="eastAsia" w:ascii="仿宋_GB2312" w:hAnsi="Calibri" w:eastAsia="仿宋_GB2312" w:cs="Times New Roman"/>
          <w:sz w:val="30"/>
          <w:szCs w:val="30"/>
        </w:rPr>
        <w:t>意向受让方存在不当行为，包括但不限于：意向受让方提供的资料和信息存在虚假、不真实、不完整、不具有效力、不符合要求等情形、意向受让方自身资质不符合法律法规相关条件的；</w:t>
      </w:r>
    </w:p>
    <w:p w14:paraId="558B3DAE">
      <w:pPr>
        <w:autoSpaceDE w:val="0"/>
        <w:autoSpaceDN w:val="0"/>
        <w:adjustRightInd w:val="0"/>
        <w:spacing w:line="360" w:lineRule="auto"/>
        <w:ind w:firstLine="600" w:firstLineChars="200"/>
        <w:rPr>
          <w:rFonts w:ascii="仿宋_GB2312" w:hAnsi="Calibri" w:eastAsia="仿宋_GB2312" w:cs="Times New Roman"/>
          <w:sz w:val="30"/>
          <w:szCs w:val="30"/>
        </w:rPr>
      </w:pPr>
      <w:r>
        <w:rPr>
          <w:rFonts w:hint="eastAsia" w:ascii="仿宋_GB2312" w:eastAsia="仿宋_GB2312"/>
          <w:sz w:val="30"/>
          <w:szCs w:val="30"/>
        </w:rPr>
        <w:t>（2）</w:t>
      </w:r>
      <w:r>
        <w:rPr>
          <w:rFonts w:hint="eastAsia" w:ascii="仿宋_GB2312" w:hAnsi="Calibri" w:eastAsia="仿宋_GB2312" w:cs="Times New Roman"/>
          <w:sz w:val="30"/>
          <w:szCs w:val="30"/>
        </w:rPr>
        <w:t>意向受让方通过受让资格确认并缴纳保证金后单方撤回受让申请的；</w:t>
      </w:r>
    </w:p>
    <w:p w14:paraId="7242584D">
      <w:pPr>
        <w:autoSpaceDE w:val="0"/>
        <w:autoSpaceDN w:val="0"/>
        <w:adjustRightInd w:val="0"/>
        <w:spacing w:line="360" w:lineRule="auto"/>
        <w:ind w:firstLine="600" w:firstLineChars="200"/>
        <w:rPr>
          <w:rFonts w:ascii="仿宋_GB2312" w:hAnsi="Calibri" w:eastAsia="仿宋_GB2312" w:cs="Times New Roman"/>
          <w:sz w:val="30"/>
          <w:szCs w:val="30"/>
        </w:rPr>
      </w:pPr>
      <w:r>
        <w:rPr>
          <w:rFonts w:hint="eastAsia" w:ascii="仿宋_GB2312" w:eastAsia="仿宋_GB2312"/>
          <w:sz w:val="30"/>
          <w:szCs w:val="30"/>
        </w:rPr>
        <w:t>（3）</w:t>
      </w:r>
      <w:r>
        <w:rPr>
          <w:rFonts w:hint="eastAsia" w:ascii="仿宋_GB2312" w:hAnsi="Calibri" w:eastAsia="仿宋_GB2312" w:cs="Times New Roman"/>
          <w:sz w:val="30"/>
          <w:szCs w:val="30"/>
        </w:rPr>
        <w:t>受让方成为中标受让方，券款对付（DVP）结算失败的。</w:t>
      </w:r>
    </w:p>
    <w:p w14:paraId="7764DC34">
      <w:pPr>
        <w:autoSpaceDE w:val="0"/>
        <w:autoSpaceDN w:val="0"/>
        <w:adjustRightInd w:val="0"/>
        <w:spacing w:line="360" w:lineRule="auto"/>
        <w:ind w:firstLine="602" w:firstLineChars="200"/>
        <w:rPr>
          <w:rFonts w:ascii="仿宋_GB2312" w:hAnsi="Calibri" w:eastAsia="仿宋_GB2312" w:cs="Times New Roman"/>
          <w:sz w:val="30"/>
          <w:szCs w:val="30"/>
        </w:rPr>
      </w:pPr>
      <w:r>
        <w:rPr>
          <w:rFonts w:hint="eastAsia" w:ascii="仿宋_GB2312" w:hAnsi="Calibri" w:eastAsia="仿宋_GB2312" w:cs="Times New Roman"/>
          <w:b/>
          <w:bCs/>
          <w:sz w:val="30"/>
          <w:szCs w:val="30"/>
        </w:rPr>
        <w:t xml:space="preserve">第四条 </w:t>
      </w:r>
      <w:r>
        <w:rPr>
          <w:rFonts w:hint="eastAsia" w:ascii="仿宋_GB2312" w:hAnsi="Calibri" w:eastAsia="仿宋_GB2312" w:cs="Times New Roman"/>
          <w:b/>
          <w:sz w:val="30"/>
          <w:szCs w:val="30"/>
        </w:rPr>
        <w:t>本承诺的效力</w:t>
      </w:r>
    </w:p>
    <w:p w14:paraId="417384CA">
      <w:pPr>
        <w:autoSpaceDE w:val="0"/>
        <w:autoSpaceDN w:val="0"/>
        <w:adjustRightInd w:val="0"/>
        <w:spacing w:line="360" w:lineRule="auto"/>
        <w:ind w:firstLine="600" w:firstLineChars="200"/>
        <w:rPr>
          <w:rFonts w:ascii="仿宋_GB2312" w:hAnsi="Calibri" w:eastAsia="仿宋_GB2312" w:cs="Times New Roman"/>
          <w:b/>
          <w:bCs/>
          <w:sz w:val="30"/>
          <w:szCs w:val="30"/>
        </w:rPr>
      </w:pPr>
      <w:r>
        <w:rPr>
          <w:rFonts w:hint="eastAsia" w:ascii="仿宋_GB2312" w:hAnsi="Calibri" w:eastAsia="仿宋_GB2312" w:cs="Times New Roman"/>
          <w:sz w:val="30"/>
          <w:szCs w:val="30"/>
        </w:rPr>
        <w:t>本承诺经本方加盖公章后即对</w:t>
      </w:r>
      <w:r>
        <w:rPr>
          <w:rFonts w:hint="eastAsia" w:ascii="仿宋_GB2312" w:hAnsi="Calibri" w:eastAsia="仿宋_GB2312" w:cs="Times New Roman"/>
          <w:bCs/>
          <w:sz w:val="30"/>
          <w:szCs w:val="30"/>
        </w:rPr>
        <w:t>本</w:t>
      </w:r>
      <w:r>
        <w:rPr>
          <w:rFonts w:hint="eastAsia" w:ascii="仿宋_GB2312" w:hAnsi="Calibri" w:eastAsia="仿宋_GB2312" w:cs="Times New Roman"/>
          <w:sz w:val="30"/>
          <w:szCs w:val="30"/>
        </w:rPr>
        <w:t>方产生法律约束力。</w:t>
      </w:r>
    </w:p>
    <w:p w14:paraId="1E7D4F43">
      <w:pPr>
        <w:autoSpaceDE w:val="0"/>
        <w:autoSpaceDN w:val="0"/>
        <w:adjustRightInd w:val="0"/>
        <w:spacing w:line="360" w:lineRule="auto"/>
        <w:ind w:firstLine="602" w:firstLineChars="200"/>
        <w:rPr>
          <w:rFonts w:ascii="仿宋_GB2312" w:hAnsi="Calibri" w:eastAsia="仿宋_GB2312" w:cs="Times New Roman"/>
          <w:b/>
          <w:sz w:val="30"/>
          <w:szCs w:val="30"/>
        </w:rPr>
      </w:pPr>
      <w:r>
        <w:rPr>
          <w:rFonts w:hint="eastAsia" w:ascii="仿宋_GB2312" w:hAnsi="Calibri" w:eastAsia="仿宋_GB2312" w:cs="Times New Roman"/>
          <w:b/>
          <w:bCs/>
          <w:sz w:val="30"/>
          <w:szCs w:val="30"/>
        </w:rPr>
        <w:t xml:space="preserve">第五条 </w:t>
      </w:r>
      <w:r>
        <w:rPr>
          <w:rFonts w:hint="eastAsia" w:ascii="仿宋_GB2312" w:hAnsi="Calibri" w:eastAsia="仿宋_GB2312" w:cs="Times New Roman"/>
          <w:b/>
          <w:sz w:val="30"/>
          <w:szCs w:val="30"/>
        </w:rPr>
        <w:t>本承诺的文本</w:t>
      </w:r>
    </w:p>
    <w:p w14:paraId="38173FAA">
      <w:pPr>
        <w:autoSpaceDE w:val="0"/>
        <w:autoSpaceDN w:val="0"/>
        <w:adjustRightInd w:val="0"/>
        <w:spacing w:line="360" w:lineRule="auto"/>
        <w:ind w:firstLine="600" w:firstLineChars="200"/>
        <w:rPr>
          <w:rFonts w:ascii="仿宋_GB2312" w:hAnsi="Calibri" w:eastAsia="仿宋_GB2312" w:cs="Times New Roman"/>
          <w:sz w:val="30"/>
          <w:szCs w:val="30"/>
        </w:rPr>
      </w:pPr>
      <w:r>
        <w:rPr>
          <w:rFonts w:hint="eastAsia" w:ascii="仿宋_GB2312" w:hAnsi="Calibri" w:eastAsia="仿宋_GB2312" w:cs="Times New Roman"/>
          <w:sz w:val="30"/>
          <w:szCs w:val="30"/>
        </w:rPr>
        <w:t>本《北京金融资产交易所到期违约债券转让业务风险知悉承诺函》一式贰份，转让方执壹份，北金所壹份。</w:t>
      </w:r>
    </w:p>
    <w:p w14:paraId="7CAEEA93">
      <w:pPr>
        <w:tabs>
          <w:tab w:val="left" w:pos="0"/>
        </w:tabs>
        <w:spacing w:line="360" w:lineRule="auto"/>
        <w:rPr>
          <w:rFonts w:ascii="仿宋_GB2312" w:hAnsi="Calibri" w:eastAsia="仿宋_GB2312" w:cs="Times New Roman"/>
          <w:sz w:val="30"/>
          <w:szCs w:val="30"/>
        </w:rPr>
      </w:pPr>
    </w:p>
    <w:p w14:paraId="009837A0">
      <w:pPr>
        <w:autoSpaceDE w:val="0"/>
        <w:autoSpaceDN w:val="0"/>
        <w:adjustRightInd w:val="0"/>
        <w:spacing w:line="360" w:lineRule="auto"/>
        <w:jc w:val="right"/>
        <w:rPr>
          <w:rFonts w:ascii="仿宋_GB2312" w:hAnsi="Calibri" w:eastAsia="仿宋_GB2312" w:cs="Times New Roman"/>
          <w:sz w:val="30"/>
          <w:szCs w:val="30"/>
        </w:rPr>
      </w:pPr>
      <w:r>
        <w:rPr>
          <w:rFonts w:hint="eastAsia" w:ascii="仿宋_GB2312" w:hAnsi="Calibri" w:eastAsia="仿宋_GB2312" w:cs="Times New Roman"/>
          <w:sz w:val="30"/>
          <w:szCs w:val="30"/>
        </w:rPr>
        <w:t>本方：</w:t>
      </w:r>
      <w:r>
        <w:rPr>
          <w:rFonts w:hint="eastAsia" w:ascii="仿宋_GB2312" w:hAnsi="Calibri" w:eastAsia="仿宋_GB2312" w:cs="Times New Roman"/>
          <w:b/>
          <w:bCs/>
          <w:sz w:val="30"/>
          <w:szCs w:val="30"/>
        </w:rPr>
        <w:tab/>
      </w:r>
      <w:r>
        <w:rPr>
          <w:rFonts w:hint="eastAsia" w:ascii="仿宋_GB2312" w:hAnsi="Calibri" w:eastAsia="仿宋_GB2312" w:cs="Times New Roman"/>
          <w:b/>
          <w:bCs/>
          <w:sz w:val="30"/>
          <w:szCs w:val="30"/>
          <w:u w:val="single"/>
        </w:rPr>
        <w:tab/>
      </w:r>
      <w:r>
        <w:rPr>
          <w:rFonts w:hint="eastAsia" w:ascii="仿宋_GB2312" w:hAnsi="Calibri" w:eastAsia="仿宋_GB2312" w:cs="Times New Roman"/>
          <w:b/>
          <w:bCs/>
          <w:sz w:val="30"/>
          <w:szCs w:val="30"/>
          <w:u w:val="single"/>
        </w:rPr>
        <w:tab/>
      </w:r>
      <w:r>
        <w:rPr>
          <w:rFonts w:hint="eastAsia" w:ascii="仿宋_GB2312" w:hAnsi="Calibri" w:eastAsia="仿宋_GB2312" w:cs="Times New Roman"/>
          <w:b/>
          <w:bCs/>
          <w:sz w:val="30"/>
          <w:szCs w:val="30"/>
          <w:u w:val="single"/>
        </w:rPr>
        <w:tab/>
      </w:r>
      <w:r>
        <w:rPr>
          <w:rFonts w:hint="eastAsia" w:ascii="仿宋_GB2312" w:hAnsi="Calibri" w:eastAsia="仿宋_GB2312" w:cs="Times New Roman"/>
          <w:b/>
          <w:bCs/>
          <w:sz w:val="30"/>
          <w:szCs w:val="30"/>
          <w:u w:val="single"/>
        </w:rPr>
        <w:tab/>
      </w:r>
      <w:r>
        <w:rPr>
          <w:rFonts w:hint="eastAsia" w:ascii="仿宋_GB2312" w:hAnsi="Calibri" w:eastAsia="仿宋_GB2312" w:cs="Times New Roman"/>
          <w:b/>
          <w:bCs/>
          <w:sz w:val="30"/>
          <w:szCs w:val="30"/>
          <w:u w:val="single"/>
        </w:rPr>
        <w:tab/>
      </w:r>
      <w:r>
        <w:rPr>
          <w:rFonts w:hint="eastAsia" w:ascii="仿宋_GB2312" w:hAnsi="Calibri" w:eastAsia="仿宋_GB2312" w:cs="Times New Roman"/>
          <w:b/>
          <w:bCs/>
          <w:sz w:val="30"/>
          <w:szCs w:val="30"/>
          <w:u w:val="single"/>
        </w:rPr>
        <w:tab/>
      </w:r>
      <w:r>
        <w:rPr>
          <w:rFonts w:hint="eastAsia" w:ascii="仿宋_GB2312" w:hAnsi="Calibri" w:eastAsia="仿宋_GB2312" w:cs="Times New Roman"/>
          <w:b/>
          <w:bCs/>
          <w:sz w:val="30"/>
          <w:szCs w:val="30"/>
          <w:u w:val="single"/>
        </w:rPr>
        <w:tab/>
      </w:r>
      <w:r>
        <w:rPr>
          <w:rFonts w:hint="eastAsia" w:ascii="仿宋_GB2312" w:hAnsi="Calibri" w:eastAsia="仿宋_GB2312" w:cs="Times New Roman"/>
          <w:b/>
          <w:bCs/>
          <w:sz w:val="30"/>
          <w:szCs w:val="30"/>
          <w:u w:val="single"/>
        </w:rPr>
        <w:tab/>
      </w:r>
      <w:r>
        <w:rPr>
          <w:rFonts w:hint="eastAsia" w:ascii="仿宋_GB2312" w:hAnsi="Calibri" w:eastAsia="仿宋_GB2312" w:cs="Times New Roman"/>
          <w:sz w:val="30"/>
          <w:szCs w:val="30"/>
        </w:rPr>
        <w:t>（盖章）</w:t>
      </w:r>
    </w:p>
    <w:p w14:paraId="6874811A">
      <w:pPr>
        <w:autoSpaceDE w:val="0"/>
        <w:autoSpaceDN w:val="0"/>
        <w:adjustRightInd w:val="0"/>
        <w:spacing w:line="360" w:lineRule="auto"/>
        <w:jc w:val="right"/>
        <w:rPr>
          <w:rFonts w:ascii="仿宋_GB2312" w:hAnsi="Calibri" w:eastAsia="仿宋_GB2312" w:cs="Times New Roman"/>
          <w:sz w:val="30"/>
          <w:szCs w:val="30"/>
        </w:rPr>
      </w:pPr>
    </w:p>
    <w:p w14:paraId="4ADD054B">
      <w:pPr>
        <w:autoSpaceDE w:val="0"/>
        <w:autoSpaceDN w:val="0"/>
        <w:adjustRightInd w:val="0"/>
        <w:spacing w:line="360" w:lineRule="auto"/>
        <w:jc w:val="right"/>
        <w:rPr>
          <w:rFonts w:ascii="仿宋_GB2312" w:hAnsi="Calibri" w:eastAsia="仿宋_GB2312" w:cs="Times New Roman"/>
          <w:b/>
          <w:bCs/>
          <w:sz w:val="30"/>
          <w:szCs w:val="30"/>
        </w:rPr>
      </w:pPr>
      <w:r>
        <w:rPr>
          <w:rFonts w:hint="eastAsia" w:ascii="仿宋_GB2312" w:hAnsi="Calibri" w:eastAsia="仿宋_GB2312" w:cs="Times New Roman"/>
          <w:sz w:val="30"/>
          <w:szCs w:val="30"/>
        </w:rPr>
        <w:t>法定代表人或授权代表（签字）</w:t>
      </w:r>
      <w:r>
        <w:rPr>
          <w:rFonts w:hint="eastAsia" w:ascii="仿宋_GB2312" w:hAnsi="Calibri" w:eastAsia="仿宋_GB2312" w:cs="Times New Roman"/>
          <w:b/>
          <w:bCs/>
          <w:sz w:val="30"/>
          <w:szCs w:val="30"/>
        </w:rPr>
        <w:t>____________</w:t>
      </w:r>
    </w:p>
    <w:p w14:paraId="0DFD3D20">
      <w:pPr>
        <w:autoSpaceDE w:val="0"/>
        <w:autoSpaceDN w:val="0"/>
        <w:adjustRightInd w:val="0"/>
        <w:spacing w:line="360" w:lineRule="auto"/>
        <w:jc w:val="right"/>
        <w:rPr>
          <w:rFonts w:ascii="仿宋_GB2312" w:hAnsi="Calibri" w:eastAsia="仿宋_GB2312" w:cs="Times New Roman"/>
          <w:b/>
          <w:bCs/>
          <w:sz w:val="30"/>
          <w:szCs w:val="30"/>
        </w:rPr>
      </w:pPr>
    </w:p>
    <w:p w14:paraId="32F40D47">
      <w:pPr>
        <w:spacing w:line="360" w:lineRule="auto"/>
        <w:jc w:val="right"/>
        <w:rPr>
          <w:rFonts w:ascii="仿宋_GB2312" w:hAnsi="Calibri" w:eastAsia="仿宋_GB2312" w:cs="Times New Roman"/>
          <w:sz w:val="30"/>
          <w:szCs w:val="30"/>
        </w:rPr>
      </w:pPr>
      <w:r>
        <w:rPr>
          <w:rFonts w:ascii="仿宋_GB2312" w:hAnsi="Calibri" w:eastAsia="仿宋_GB2312" w:cs="Times New Roman"/>
          <w:b/>
          <w:bCs/>
          <w:sz w:val="30"/>
          <w:szCs w:val="30"/>
        </w:rPr>
        <w:t xml:space="preserve"> </w:t>
      </w:r>
      <w:r>
        <w:rPr>
          <w:rFonts w:hint="eastAsia" w:ascii="仿宋_GB2312" w:hAnsi="Calibri" w:eastAsia="仿宋_GB2312" w:cs="Times New Roman"/>
          <w:sz w:val="30"/>
          <w:szCs w:val="30"/>
        </w:rPr>
        <w:t>年</w:t>
      </w:r>
      <w:r>
        <w:rPr>
          <w:rFonts w:hint="eastAsia" w:ascii="仿宋_GB2312" w:hAnsi="Calibri" w:eastAsia="仿宋_GB2312" w:cs="Times New Roman"/>
          <w:b/>
          <w:bCs/>
          <w:sz w:val="30"/>
          <w:szCs w:val="30"/>
        </w:rPr>
        <w:t xml:space="preserve">  </w:t>
      </w:r>
      <w:r>
        <w:rPr>
          <w:rFonts w:hint="eastAsia" w:ascii="仿宋_GB2312" w:hAnsi="Calibri" w:eastAsia="仿宋_GB2312" w:cs="Times New Roman"/>
          <w:sz w:val="30"/>
          <w:szCs w:val="30"/>
        </w:rPr>
        <w:t>月</w:t>
      </w:r>
      <w:r>
        <w:rPr>
          <w:rFonts w:hint="eastAsia" w:ascii="仿宋_GB2312" w:hAnsi="Calibri" w:eastAsia="仿宋_GB2312" w:cs="Times New Roman"/>
          <w:b/>
          <w:bCs/>
          <w:sz w:val="30"/>
          <w:szCs w:val="30"/>
        </w:rPr>
        <w:t xml:space="preserve">  </w:t>
      </w:r>
      <w:r>
        <w:rPr>
          <w:rFonts w:hint="eastAsia" w:ascii="仿宋_GB2312" w:hAnsi="Calibri" w:eastAsia="仿宋_GB2312" w:cs="Times New Roman"/>
          <w:sz w:val="30"/>
          <w:szCs w:val="30"/>
        </w:rPr>
        <w:t>日</w:t>
      </w:r>
    </w:p>
    <w:p w14:paraId="7D73E951"/>
    <w:p w14:paraId="0A9664B5"/>
    <w:p w14:paraId="265C84F6"/>
    <w:sectPr>
      <w:headerReference r:id="rId18" w:type="first"/>
      <w:headerReference r:id="rId16" w:type="default"/>
      <w:headerReference r:id="rId1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r>
        <w:separator/>
      </w:r>
    </w:p>
  </w:footnote>
  <w:footnote w:type="continuationSeparator" w:id="17">
    <w:p>
      <w:r>
        <w:continuationSeparator/>
      </w:r>
    </w:p>
  </w:footnote>
  <w:footnote w:id="0">
    <w:p w14:paraId="45C99DC8">
      <w:pPr>
        <w:pStyle w:val="6"/>
      </w:pPr>
      <w:r>
        <w:rPr>
          <w:rStyle w:val="11"/>
        </w:rPr>
        <w:footnoteRef/>
      </w:r>
      <w:r>
        <w:t xml:space="preserve"> </w:t>
      </w:r>
      <w:r>
        <w:rPr>
          <w:rFonts w:hint="eastAsia"/>
        </w:rPr>
        <w:t>意向受让方全称及简称指于外汇交易中心开户的机构全称及简称</w:t>
      </w:r>
    </w:p>
  </w:footnote>
  <w:footnote w:id="1">
    <w:p w14:paraId="0C972BE4">
      <w:pPr>
        <w:pStyle w:val="6"/>
      </w:pPr>
    </w:p>
  </w:footnote>
  <w:footnote w:id="2">
    <w:p w14:paraId="4C7D4F39">
      <w:pPr>
        <w:pStyle w:val="6"/>
      </w:pPr>
      <w:r>
        <w:rPr>
          <w:rStyle w:val="11"/>
        </w:rPr>
        <w:t>1</w:t>
      </w:r>
      <w:r>
        <w:rPr>
          <w:rFonts w:hint="eastAsia"/>
        </w:rPr>
        <w:t>意向</w:t>
      </w:r>
      <w:r>
        <w:t>受让方全称</w:t>
      </w:r>
      <w:r>
        <w:rPr>
          <w:rFonts w:hint="eastAsia"/>
        </w:rPr>
        <w:t>及</w:t>
      </w:r>
      <w:r>
        <w:t>简称指</w:t>
      </w:r>
      <w:r>
        <w:rPr>
          <w:rFonts w:hint="eastAsia"/>
        </w:rPr>
        <w:t>于外汇交易中心</w:t>
      </w:r>
      <w:r>
        <w:t>开户</w:t>
      </w:r>
      <w:r>
        <w:rPr>
          <w:rFonts w:hint="eastAsia"/>
        </w:rPr>
        <w:t>的机构全</w:t>
      </w:r>
      <w:r>
        <w:t>称</w:t>
      </w:r>
      <w:r>
        <w:rPr>
          <w:rFonts w:hint="eastAsia"/>
        </w:rPr>
        <w:t>及</w:t>
      </w:r>
      <w:r>
        <w:t>简称</w:t>
      </w:r>
    </w:p>
  </w:footnote>
  <w:footnote w:id="3">
    <w:p w14:paraId="0634B459">
      <w:pPr>
        <w:pStyle w:val="6"/>
      </w:pPr>
    </w:p>
  </w:footnote>
  <w:footnote w:id="4">
    <w:p w14:paraId="0DE40D1D">
      <w:pPr>
        <w:pStyle w:val="6"/>
      </w:pPr>
      <w:r>
        <w:rPr>
          <w:rStyle w:val="11"/>
        </w:rPr>
        <w:footnoteRef/>
      </w:r>
      <w:r>
        <w:rPr>
          <w:rFonts w:hint="eastAsia"/>
        </w:rPr>
        <w:t>金融机构</w:t>
      </w:r>
      <w:r>
        <w:t>全称及简称指</w:t>
      </w:r>
      <w:r>
        <w:rPr>
          <w:rFonts w:hint="eastAsia"/>
        </w:rPr>
        <w:t>于外汇交易中心</w:t>
      </w:r>
      <w:r>
        <w:t>开户</w:t>
      </w:r>
      <w:r>
        <w:rPr>
          <w:rFonts w:hint="eastAsia"/>
        </w:rPr>
        <w:t>的机构全</w:t>
      </w:r>
      <w:r>
        <w:t>称</w:t>
      </w:r>
      <w:r>
        <w:rPr>
          <w:rFonts w:hint="eastAsia"/>
        </w:rPr>
        <w:t>及</w:t>
      </w:r>
      <w:r>
        <w:t>简称</w:t>
      </w:r>
    </w:p>
  </w:footnote>
  <w:footnote w:id="5">
    <w:p w14:paraId="579DE62A">
      <w:pPr>
        <w:pStyle w:val="6"/>
      </w:pPr>
    </w:p>
  </w:footnote>
  <w:footnote w:id="6">
    <w:p w14:paraId="6B37345E">
      <w:pPr>
        <w:pStyle w:val="6"/>
      </w:pPr>
      <w:r>
        <w:rPr>
          <w:rStyle w:val="11"/>
        </w:rPr>
        <w:footnoteRef/>
      </w:r>
      <w:r>
        <w:rPr>
          <w:rFonts w:hint="eastAsia"/>
        </w:rPr>
        <w:t>金融机构</w:t>
      </w:r>
      <w:r>
        <w:t>管理的产品全称及简称指</w:t>
      </w:r>
      <w:r>
        <w:rPr>
          <w:rFonts w:hint="eastAsia"/>
        </w:rPr>
        <w:t>于外汇交易中心</w:t>
      </w:r>
      <w:r>
        <w:t>开户</w:t>
      </w:r>
      <w:r>
        <w:rPr>
          <w:rFonts w:hint="eastAsia"/>
        </w:rPr>
        <w:t>的产品全</w:t>
      </w:r>
      <w:r>
        <w:t>称</w:t>
      </w:r>
      <w:r>
        <w:rPr>
          <w:rFonts w:hint="eastAsia"/>
        </w:rPr>
        <w:t>及</w:t>
      </w:r>
      <w:r>
        <w:t>简称</w:t>
      </w:r>
    </w:p>
  </w:footnote>
  <w:footnote w:id="7">
    <w:p w14:paraId="529CCB25">
      <w:pPr>
        <w:pStyle w:val="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62733">
    <w:r>
      <w:pict>
        <v:shape id="_x0000_s2050" o:spid="_x0000_s2050" o:spt="136" type="#_x0000_t136" style="position:absolute;left:0pt;height:100pt;width:500pt;mso-position-horizontal:center;mso-position-horizontal-relative:page;mso-position-vertical:center;mso-position-vertical-relative:page;rotation:-2621440f;z-index:251659264;mso-width-relative:page;mso-height-relative:page;" fillcolor="#E0E0E0" filled="t" stroked="t" coordsize="21600,21600">
          <v:path/>
          <v:fill on="t" focussize="0,0"/>
          <v:stroke color="#E0E0E0"/>
          <v:imagedata o:title=""/>
          <o:lock v:ext="edit"/>
          <v:textpath on="t" fitpath="t" trim="f" xscale="f" string="北京金融资产交易所" style="font-family:宋体;font-size:36pt;v-text-align:center;"/>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CAFD1">
    <w:r>
      <w:pict>
        <v:shape id="_x0000_s2058" o:spid="_x0000_s2058" o:spt="136" type="#_x0000_t136" style="position:absolute;left:0pt;height:100pt;width:500pt;mso-position-horizontal:center;mso-position-horizontal-relative:page;mso-position-vertical:center;mso-position-vertical-relative:page;rotation:-2621440f;z-index:251668480;mso-width-relative:page;mso-height-relative:page;" fillcolor="#E0E0E0" filled="t" stroked="t" coordsize="21600,21600">
          <v:path/>
          <v:fill on="t" focussize="0,0"/>
          <v:stroke color="#E0E0E0"/>
          <v:imagedata o:title=""/>
          <o:lock v:ext="edit"/>
          <v:textpath on="t" fitpath="t" trim="f" xscale="f" string="北京金融资产交易所" style="font-family:宋体;font-size:36pt;v-text-align:center;"/>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42CAE">
    <w:r>
      <w:pict>
        <v:shape id="_x0000_s2060" o:spid="_x0000_s2060" o:spt="136" type="#_x0000_t136" style="position:absolute;left:0pt;height:100pt;width:500pt;mso-position-horizontal:center;mso-position-horizontal-relative:page;mso-position-vertical:center;mso-position-vertical-relative:page;rotation:-2621440f;z-index:251670528;mso-width-relative:page;mso-height-relative:page;" fillcolor="#E0E0E0" filled="t" stroked="t" coordsize="21600,21600">
          <v:path/>
          <v:fill on="t" focussize="0,0"/>
          <v:stroke color="#E0E0E0"/>
          <v:imagedata o:title=""/>
          <o:lock v:ext="edit"/>
          <v:textpath on="t" fitpath="t" trim="f" xscale="f" string="北京金融资产交易所" style="font-family:宋体;font-size:36pt;v-text-align:center;"/>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7DBF3">
    <w:r>
      <w:pict>
        <v:shape id="_x0000_s2059" o:spid="_x0000_s2059" o:spt="136" type="#_x0000_t136" style="position:absolute;left:0pt;height:100pt;width:500pt;mso-position-horizontal:center;mso-position-horizontal-relative:page;mso-position-vertical:center;mso-position-vertical-relative:page;rotation:-2621440f;z-index:251669504;mso-width-relative:page;mso-height-relative:page;" fillcolor="#E0E0E0" filled="t" stroked="t" coordsize="21600,21600">
          <v:path/>
          <v:fill on="t" focussize="0,0"/>
          <v:stroke color="#E0E0E0"/>
          <v:imagedata o:title=""/>
          <o:lock v:ext="edit"/>
          <v:textpath on="t" fitpath="t" trim="f" xscale="f" string="北京金融资产交易所" style="font-family:宋体;font-size:36pt;v-text-align:center;"/>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26AFE">
    <w:r>
      <w:pict>
        <v:shape id="_x0000_s2061" o:spid="_x0000_s2061" o:spt="136" type="#_x0000_t136" style="position:absolute;left:0pt;height:100pt;width:500pt;mso-position-horizontal:center;mso-position-horizontal-relative:page;mso-position-vertical:center;mso-position-vertical-relative:page;rotation:-2621440f;z-index:251671552;mso-width-relative:page;mso-height-relative:page;" fillcolor="#E0E0E0" filled="t" stroked="t" coordsize="21600,21600">
          <v:path/>
          <v:fill on="t" focussize="0,0"/>
          <v:stroke color="#E0E0E0"/>
          <v:imagedata o:title=""/>
          <o:lock v:ext="edit"/>
          <v:textpath on="t" fitpath="t" trim="f" xscale="f" string="北京金融资产交易所" style="font-family:宋体;font-size:36pt;v-text-align:center;"/>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01539">
    <w:r>
      <w:pict>
        <v:shape id="_x0000_s2063" o:spid="_x0000_s2063" o:spt="136" type="#_x0000_t136" style="position:absolute;left:0pt;height:100pt;width:500pt;mso-position-horizontal:center;mso-position-horizontal-relative:page;mso-position-vertical:center;mso-position-vertical-relative:page;rotation:-2621440f;z-index:251673600;mso-width-relative:page;mso-height-relative:page;" fillcolor="#E0E0E0" filled="t" stroked="t" coordsize="21600,21600">
          <v:path/>
          <v:fill on="t" focussize="0,0"/>
          <v:stroke color="#E0E0E0"/>
          <v:imagedata o:title=""/>
          <o:lock v:ext="edit"/>
          <v:textpath on="t" fitpath="t" trim="f" xscale="f" string="北京金融资产交易所" style="font-family:宋体;font-size:36pt;v-text-align:center;"/>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A6127">
    <w:r>
      <w:pict>
        <v:shape id="_x0000_s2062" o:spid="_x0000_s2062" o:spt="136" type="#_x0000_t136" style="position:absolute;left:0pt;height:100pt;width:500pt;mso-position-horizontal:center;mso-position-horizontal-relative:page;mso-position-vertical:center;mso-position-vertical-relative:page;rotation:-2621440f;z-index:251672576;mso-width-relative:page;mso-height-relative:page;" fillcolor="#E0E0E0" filled="t" stroked="t" coordsize="21600,21600">
          <v:path/>
          <v:fill on="t" focussize="0,0"/>
          <v:stroke color="#E0E0E0"/>
          <v:imagedata o:title=""/>
          <o:lock v:ext="edit"/>
          <v:textpath on="t" fitpath="t" trim="f" xscale="f" string="北京金融资产交易所" style="font-family:宋体;font-size:36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5D71">
    <w:r>
      <w:pict>
        <v:shape id="_x0000_s2049" o:spid="_x0000_s2049" o:spt="136" type="#_x0000_t136" style="position:absolute;left:0pt;height:100pt;width:500pt;mso-position-horizontal:center;mso-position-horizontal-relative:page;mso-position-vertical:center;mso-position-vertical-relative:page;rotation:-2621440f;z-index:251661312;mso-width-relative:page;mso-height-relative:page;" fillcolor="#E0E0E0" filled="t" stroked="t" coordsize="21600,21600">
          <v:path/>
          <v:fill on="t" focussize="0,0"/>
          <v:stroke color="#E0E0E0"/>
          <v:imagedata o:title=""/>
          <o:lock v:ext="edit"/>
          <v:textpath on="t" fitpath="t" trim="f" xscale="f" string="北京金融资产交易所" style="font-family:宋体;font-size:36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9A1FA">
    <w:r>
      <w:pict>
        <v:shape id="_x0000_s2051" o:spid="_x0000_s2051" o:spt="136" type="#_x0000_t136" style="position:absolute;left:0pt;height:100pt;width:500pt;mso-position-horizontal:center;mso-position-horizontal-relative:page;mso-position-vertical:center;mso-position-vertical-relative:page;rotation:-2621440f;z-index:251660288;mso-width-relative:page;mso-height-relative:page;" fillcolor="#E0E0E0" filled="t" stroked="t" coordsize="21600,21600">
          <v:path/>
          <v:fill on="t" focussize="0,0"/>
          <v:stroke color="#E0E0E0"/>
          <v:imagedata o:title=""/>
          <o:lock v:ext="edit"/>
          <v:textpath on="t" fitpath="t" trim="f" xscale="f" string="北京金融资产交易所" style="font-family:宋体;font-size:36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0C083">
    <w:r>
      <w:pict>
        <v:shape id="_x0000_s2052" o:spid="_x0000_s2052" o:spt="136" type="#_x0000_t136" style="position:absolute;left:0pt;height:100pt;width:500pt;mso-position-horizontal:center;mso-position-horizontal-relative:page;mso-position-vertical:center;mso-position-vertical-relative:page;rotation:-2621440f;z-index:251662336;mso-width-relative:page;mso-height-relative:page;" fillcolor="#E0E0E0" filled="t" stroked="t" coordsize="21600,21600">
          <v:path/>
          <v:fill on="t" focussize="0,0"/>
          <v:stroke color="#E0E0E0"/>
          <v:imagedata o:title=""/>
          <o:lock v:ext="edit"/>
          <v:textpath on="t" fitpath="t" trim="f" xscale="f" string="北京金融资产交易所" style="font-family:宋体;font-size:36pt;v-text-align:center;"/>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21BB5">
    <w:r>
      <w:pict>
        <v:shape id="_x0000_s2054" o:spid="_x0000_s2054" o:spt="136" type="#_x0000_t136" style="position:absolute;left:0pt;height:100pt;width:500pt;mso-position-horizontal:center;mso-position-horizontal-relative:page;mso-position-vertical:center;mso-position-vertical-relative:page;rotation:-2621440f;z-index:251664384;mso-width-relative:page;mso-height-relative:page;" fillcolor="#E0E0E0" filled="t" stroked="t" coordsize="21600,21600">
          <v:path/>
          <v:fill on="t" focussize="0,0"/>
          <v:stroke color="#E0E0E0"/>
          <v:imagedata o:title=""/>
          <o:lock v:ext="edit"/>
          <v:textpath on="t" fitpath="t" trim="f" xscale="f" string="北京金融资产交易所" style="font-family:宋体;font-size:36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EEE4D">
    <w:r>
      <w:pict>
        <v:shape id="_x0000_s2053" o:spid="_x0000_s2053" o:spt="136" type="#_x0000_t136" style="position:absolute;left:0pt;height:100pt;width:500pt;mso-position-horizontal:center;mso-position-horizontal-relative:page;mso-position-vertical:center;mso-position-vertical-relative:page;rotation:-2621440f;z-index:251663360;mso-width-relative:page;mso-height-relative:page;" fillcolor="#E0E0E0" filled="t" stroked="t" coordsize="21600,21600">
          <v:path/>
          <v:fill on="t" focussize="0,0"/>
          <v:stroke color="#E0E0E0"/>
          <v:imagedata o:title=""/>
          <o:lock v:ext="edit"/>
          <v:textpath on="t" fitpath="t" trim="f" xscale="f" string="北京金融资产交易所" style="font-family:宋体;font-size:36pt;v-text-align:center;"/>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B0BDD">
    <w:r>
      <w:pict>
        <v:shape id="_x0000_s2055" o:spid="_x0000_s2055" o:spt="136" type="#_x0000_t136" style="position:absolute;left:0pt;height:100pt;width:500pt;mso-position-horizontal:center;mso-position-horizontal-relative:page;mso-position-vertical:center;mso-position-vertical-relative:page;rotation:-2621440f;z-index:251665408;mso-width-relative:page;mso-height-relative:page;" fillcolor="#E0E0E0" filled="t" stroked="t" coordsize="21600,21600">
          <v:path/>
          <v:fill on="t" focussize="0,0"/>
          <v:stroke color="#E0E0E0"/>
          <v:imagedata o:title=""/>
          <o:lock v:ext="edit"/>
          <v:textpath on="t" fitpath="t" trim="f" xscale="f" string="北京金融资产交易所" style="font-family:宋体;font-size:36pt;v-text-align:center;"/>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3EA2D">
    <w:r>
      <w:pict>
        <v:shape id="_x0000_s2057" o:spid="_x0000_s2057" o:spt="136" type="#_x0000_t136" style="position:absolute;left:0pt;height:100pt;width:500pt;mso-position-horizontal:center;mso-position-horizontal-relative:page;mso-position-vertical:center;mso-position-vertical-relative:page;rotation:-2621440f;z-index:251667456;mso-width-relative:page;mso-height-relative:page;" fillcolor="#E0E0E0" filled="t" stroked="t" coordsize="21600,21600">
          <v:path/>
          <v:fill on="t" focussize="0,0"/>
          <v:stroke color="#E0E0E0"/>
          <v:imagedata o:title=""/>
          <o:lock v:ext="edit"/>
          <v:textpath on="t" fitpath="t" trim="f" xscale="f" string="北京金融资产交易所" style="font-family:宋体;font-size:36pt;v-text-align:center;"/>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2CA60">
    <w:r>
      <w:pict>
        <v:shape id="_x0000_s2056" o:spid="_x0000_s2056" o:spt="136" type="#_x0000_t136" style="position:absolute;left:0pt;height:100pt;width:500pt;mso-position-horizontal:center;mso-position-horizontal-relative:page;mso-position-vertical:center;mso-position-vertical-relative:page;rotation:-2621440f;z-index:251666432;mso-width-relative:page;mso-height-relative:page;" fillcolor="#E0E0E0" filled="t" stroked="t" coordsize="21600,21600">
          <v:path/>
          <v:fill on="t" focussize="0,0"/>
          <v:stroke color="#E0E0E0"/>
          <v:imagedata o:title=""/>
          <o:lock v:ext="edit"/>
          <v:textpath on="t" fitpath="t" trim="f" xscale="f" string="北京金融资产交易所" style="font-family:宋体;font-size:36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16"/>
    <w:footnote w:id="17"/>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8377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99"/>
  </w:style>
  <w:style w:type="paragraph" w:styleId="3">
    <w:name w:val="Balloon Text"/>
    <w:basedOn w:val="1"/>
    <w:link w:val="14"/>
    <w:semiHidden/>
    <w:unhideWhenUsed/>
    <w:uiPriority w:val="99"/>
    <w:rPr>
      <w:sz w:val="18"/>
      <w:szCs w:val="18"/>
    </w:rPr>
  </w:style>
  <w:style w:type="paragraph" w:styleId="4">
    <w:name w:val="footer"/>
    <w:basedOn w:val="1"/>
    <w:link w:val="16"/>
    <w:unhideWhenUsed/>
    <w:qFormat/>
    <w:uiPriority w:val="99"/>
    <w:pPr>
      <w:tabs>
        <w:tab w:val="center" w:pos="4153"/>
        <w:tab w:val="right" w:pos="8306"/>
      </w:tabs>
      <w:snapToGrid w:val="0"/>
    </w:pPr>
    <w:rPr>
      <w:sz w:val="18"/>
      <w:szCs w:val="18"/>
    </w:rPr>
  </w:style>
  <w:style w:type="paragraph" w:styleId="5">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7"/>
    <w:semiHidden/>
    <w:unhideWhenUsed/>
    <w:uiPriority w:val="99"/>
    <w:pPr>
      <w:widowControl w:val="0"/>
      <w:snapToGrid w:val="0"/>
    </w:pPr>
    <w:rPr>
      <w:rFonts w:asciiTheme="minorHAnsi" w:hAnsiTheme="minorHAnsi" w:eastAsiaTheme="minorEastAsia" w:cstheme="minorBidi"/>
      <w:kern w:val="2"/>
      <w:sz w:val="18"/>
      <w:szCs w:val="18"/>
    </w:rPr>
  </w:style>
  <w:style w:type="paragraph" w:styleId="7">
    <w:name w:val="annotation subject"/>
    <w:basedOn w:val="2"/>
    <w:next w:val="2"/>
    <w:link w:val="13"/>
    <w:semiHidden/>
    <w:unhideWhenUsed/>
    <w:uiPriority w:val="99"/>
    <w:rPr>
      <w:b/>
      <w:bCs/>
    </w:rPr>
  </w:style>
  <w:style w:type="character" w:styleId="10">
    <w:name w:val="annotation reference"/>
    <w:basedOn w:val="9"/>
    <w:semiHidden/>
    <w:unhideWhenUsed/>
    <w:uiPriority w:val="99"/>
    <w:rPr>
      <w:sz w:val="21"/>
      <w:szCs w:val="21"/>
    </w:rPr>
  </w:style>
  <w:style w:type="character" w:styleId="11">
    <w:name w:val="footnote reference"/>
    <w:basedOn w:val="9"/>
    <w:semiHidden/>
    <w:unhideWhenUsed/>
    <w:uiPriority w:val="99"/>
    <w:rPr>
      <w:vertAlign w:val="superscript"/>
    </w:rPr>
  </w:style>
  <w:style w:type="character" w:customStyle="1" w:styleId="12">
    <w:name w:val="批注文字 字符"/>
    <w:basedOn w:val="9"/>
    <w:link w:val="2"/>
    <w:semiHidden/>
    <w:uiPriority w:val="99"/>
    <w:rPr>
      <w:rFonts w:ascii="宋体" w:hAnsi="宋体" w:eastAsia="宋体" w:cs="宋体"/>
      <w:kern w:val="0"/>
      <w:sz w:val="24"/>
      <w:szCs w:val="24"/>
    </w:rPr>
  </w:style>
  <w:style w:type="character" w:customStyle="1" w:styleId="13">
    <w:name w:val="批注主题 字符"/>
    <w:basedOn w:val="12"/>
    <w:link w:val="7"/>
    <w:semiHidden/>
    <w:qFormat/>
    <w:uiPriority w:val="99"/>
    <w:rPr>
      <w:rFonts w:ascii="宋体" w:hAnsi="宋体" w:eastAsia="宋体" w:cs="宋体"/>
      <w:b/>
      <w:bCs/>
      <w:kern w:val="0"/>
      <w:sz w:val="24"/>
      <w:szCs w:val="24"/>
    </w:rPr>
  </w:style>
  <w:style w:type="character" w:customStyle="1" w:styleId="14">
    <w:name w:val="批注框文本 字符"/>
    <w:basedOn w:val="9"/>
    <w:link w:val="3"/>
    <w:semiHidden/>
    <w:uiPriority w:val="99"/>
    <w:rPr>
      <w:rFonts w:ascii="宋体" w:hAnsi="宋体" w:eastAsia="宋体" w:cs="宋体"/>
      <w:kern w:val="0"/>
      <w:sz w:val="18"/>
      <w:szCs w:val="18"/>
    </w:rPr>
  </w:style>
  <w:style w:type="character" w:customStyle="1" w:styleId="15">
    <w:name w:val="页眉 字符"/>
    <w:basedOn w:val="9"/>
    <w:link w:val="5"/>
    <w:uiPriority w:val="99"/>
    <w:rPr>
      <w:rFonts w:ascii="宋体" w:hAnsi="宋体" w:eastAsia="宋体" w:cs="宋体"/>
      <w:kern w:val="0"/>
      <w:sz w:val="18"/>
      <w:szCs w:val="18"/>
    </w:rPr>
  </w:style>
  <w:style w:type="character" w:customStyle="1" w:styleId="16">
    <w:name w:val="页脚 字符"/>
    <w:basedOn w:val="9"/>
    <w:link w:val="4"/>
    <w:uiPriority w:val="99"/>
    <w:rPr>
      <w:rFonts w:ascii="宋体" w:hAnsi="宋体" w:eastAsia="宋体" w:cs="宋体"/>
      <w:kern w:val="0"/>
      <w:sz w:val="18"/>
      <w:szCs w:val="18"/>
    </w:rPr>
  </w:style>
  <w:style w:type="character" w:customStyle="1" w:styleId="17">
    <w:name w:val="脚注文本 字符"/>
    <w:basedOn w:val="9"/>
    <w:link w:val="6"/>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15.xml"/><Relationship Id="rId17" Type="http://schemas.openxmlformats.org/officeDocument/2006/relationships/header" Target="header14.xml"/><Relationship Id="rId16" Type="http://schemas.openxmlformats.org/officeDocument/2006/relationships/header" Target="header13.xml"/><Relationship Id="rId15" Type="http://schemas.openxmlformats.org/officeDocument/2006/relationships/header" Target="header12.xml"/><Relationship Id="rId14" Type="http://schemas.openxmlformats.org/officeDocument/2006/relationships/header" Target="header11.xml"/><Relationship Id="rId13" Type="http://schemas.openxmlformats.org/officeDocument/2006/relationships/header" Target="header10.xml"/><Relationship Id="rId12" Type="http://schemas.openxmlformats.org/officeDocument/2006/relationships/header" Target="header9.xml"/><Relationship Id="rId11" Type="http://schemas.openxmlformats.org/officeDocument/2006/relationships/header" Target="header8.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0"/>
    <customShpInfo spid="_x0000_s2049"/>
    <customShpInfo spid="_x0000_s2051"/>
    <customShpInfo spid="_x0000_s2052"/>
    <customShpInfo spid="_x0000_s2054"/>
    <customShpInfo spid="_x0000_s2053"/>
    <customShpInfo spid="_x0000_s2055"/>
    <customShpInfo spid="_x0000_s2057"/>
    <customShpInfo spid="_x0000_s2056"/>
    <customShpInfo spid="_x0000_s2058"/>
    <customShpInfo spid="_x0000_s2060"/>
    <customShpInfo spid="_x0000_s2059"/>
    <customShpInfo spid="_x0000_s2061"/>
    <customShpInfo spid="_x0000_s2063"/>
    <customShpInfo spid="_x0000_s206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26F12D-E340-496C-AE93-A46F052F8A0C}">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2834</Words>
  <Characters>2923</Characters>
  <Lines>37</Lines>
  <Paragraphs>10</Paragraphs>
  <TotalTime>46</TotalTime>
  <ScaleCrop>false</ScaleCrop>
  <LinksUpToDate>false</LinksUpToDate>
  <CharactersWithSpaces>2949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2020-11-06T10:13:00Z</dcterms:created>
  <dc:creator>ljy</dc:creator>
  <cp:lastModifiedBy>交易及衍生品服务部</cp:lastModifiedBy>
  <dcterms:modified xsi:type="dcterms:W3CDTF">2026-08-11T01:07:46Z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eyJoZGlkIjoiOWM3ZGY5NWRjZWJlMzczMmVlY2RkNTcyOTJkZDVkOTIifQ==</vt:lpwstr>
  </property>
  <property fmtid="{D5CDD505-2E9C-101B-9397-08002B2CF9AE}" pid="3" name="KSOProductBuildVer">
    <vt:lpwstr>2052-12.1.0.28043</vt:lpwstr>
  </property>
  <property fmtid="{D5CDD505-2E9C-101B-9397-08002B2CF9AE}" pid="4" name="ICV">
    <vt:lpwstr>A2B46690362E4461AD65E79DE824F8B7_12</vt:lpwstr>
  </property>
</Properties>
</file>